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46" w:rsidRPr="008F178A" w:rsidRDefault="00DE738F" w:rsidP="00FE037F">
      <w:pPr>
        <w:rPr>
          <w:b/>
          <w:sz w:val="36"/>
          <w:u w:val="single"/>
        </w:rPr>
      </w:pPr>
      <w:bookmarkStart w:id="0" w:name="_GoBack"/>
      <w:bookmarkEnd w:id="0"/>
      <w:r w:rsidRPr="008F178A">
        <w:rPr>
          <w:b/>
          <w:sz w:val="36"/>
          <w:u w:val="single"/>
        </w:rPr>
        <w:t>Tables of European Standards</w:t>
      </w:r>
    </w:p>
    <w:p w:rsidR="00C94E3F" w:rsidRPr="008F178A" w:rsidRDefault="00C94E3F" w:rsidP="00C94E3F">
      <w:pPr>
        <w:tabs>
          <w:tab w:val="left" w:pos="851"/>
        </w:tabs>
        <w:ind w:right="-284"/>
        <w:rPr>
          <w:sz w:val="24"/>
        </w:rPr>
      </w:pPr>
    </w:p>
    <w:tbl>
      <w:tblPr>
        <w:tblpPr w:leftFromText="141" w:rightFromText="141" w:vertAnchor="text" w:tblpX="38" w:tblpY="1"/>
        <w:tblOverlap w:val="never"/>
        <w:tblW w:w="14954" w:type="dxa"/>
        <w:tblLayout w:type="fixed"/>
        <w:tblCellMar>
          <w:left w:w="70" w:type="dxa"/>
          <w:right w:w="70" w:type="dxa"/>
        </w:tblCellMar>
        <w:tblLook w:val="0000" w:firstRow="0" w:lastRow="0" w:firstColumn="0" w:lastColumn="0" w:noHBand="0" w:noVBand="0"/>
      </w:tblPr>
      <w:tblGrid>
        <w:gridCol w:w="1632"/>
        <w:gridCol w:w="3258"/>
        <w:gridCol w:w="2551"/>
        <w:gridCol w:w="2410"/>
        <w:gridCol w:w="5103"/>
      </w:tblGrid>
      <w:tr w:rsidR="000215F4" w:rsidRPr="008F178A"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8F178A" w:rsidRDefault="000215F4" w:rsidP="000215F4">
            <w:pPr>
              <w:autoSpaceDE w:val="0"/>
              <w:autoSpaceDN w:val="0"/>
              <w:adjustRightInd w:val="0"/>
              <w:rPr>
                <w:b/>
                <w:bCs/>
                <w:color w:val="000000"/>
                <w:sz w:val="28"/>
                <w:szCs w:val="36"/>
              </w:rPr>
            </w:pPr>
            <w:r w:rsidRPr="008F178A">
              <w:rPr>
                <w:b/>
                <w:bCs/>
                <w:color w:val="000000"/>
                <w:sz w:val="28"/>
                <w:szCs w:val="36"/>
              </w:rPr>
              <w:t>Country</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8F178A" w:rsidRDefault="000215F4" w:rsidP="000215F4">
            <w:pPr>
              <w:autoSpaceDE w:val="0"/>
              <w:autoSpaceDN w:val="0"/>
              <w:adjustRightInd w:val="0"/>
              <w:rPr>
                <w:b/>
                <w:bCs/>
                <w:color w:val="000000"/>
                <w:sz w:val="28"/>
                <w:szCs w:val="36"/>
              </w:rPr>
            </w:pPr>
            <w:r w:rsidRPr="008F178A">
              <w:rPr>
                <w:b/>
                <w:bCs/>
                <w:color w:val="000000"/>
                <w:sz w:val="28"/>
                <w:szCs w:val="36"/>
              </w:rPr>
              <w:t>Title/reference</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8F178A" w:rsidRDefault="000215F4" w:rsidP="000215F4">
            <w:pPr>
              <w:autoSpaceDE w:val="0"/>
              <w:autoSpaceDN w:val="0"/>
              <w:adjustRightInd w:val="0"/>
              <w:ind w:right="-70"/>
              <w:rPr>
                <w:b/>
                <w:bCs/>
                <w:color w:val="000000"/>
                <w:sz w:val="28"/>
                <w:szCs w:val="36"/>
              </w:rPr>
            </w:pPr>
            <w:r w:rsidRPr="008F178A">
              <w:rPr>
                <w:b/>
                <w:bCs/>
                <w:color w:val="000000"/>
                <w:sz w:val="28"/>
                <w:szCs w:val="36"/>
              </w:rPr>
              <w:t>Code/number</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5A5D2A">
            <w:pPr>
              <w:autoSpaceDE w:val="0"/>
              <w:autoSpaceDN w:val="0"/>
              <w:adjustRightInd w:val="0"/>
              <w:ind w:right="-70"/>
              <w:rPr>
                <w:b/>
                <w:bCs/>
                <w:color w:val="000000"/>
                <w:sz w:val="20"/>
                <w:szCs w:val="36"/>
              </w:rPr>
            </w:pPr>
            <w:r w:rsidRPr="005A5D2A">
              <w:rPr>
                <w:b/>
                <w:bCs/>
                <w:color w:val="000000"/>
                <w:sz w:val="28"/>
                <w:szCs w:val="36"/>
              </w:rPr>
              <w:t>Web link</w:t>
            </w: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8F178A" w:rsidRDefault="00C2347E" w:rsidP="008F178A">
            <w:pPr>
              <w:autoSpaceDE w:val="0"/>
              <w:autoSpaceDN w:val="0"/>
              <w:adjustRightInd w:val="0"/>
              <w:rPr>
                <w:b/>
                <w:bCs/>
                <w:color w:val="000000"/>
                <w:sz w:val="28"/>
                <w:szCs w:val="36"/>
              </w:rPr>
            </w:pPr>
            <w:r>
              <w:rPr>
                <w:b/>
                <w:bCs/>
                <w:color w:val="000000"/>
                <w:sz w:val="28"/>
                <w:szCs w:val="36"/>
              </w:rPr>
              <w:t>Short Description and Comments</w:t>
            </w: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Albania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Andorra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Armenia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Austria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 xml:space="preserve">Building vibrations; blasting vibrations and comparable </w:t>
            </w:r>
            <w:proofErr w:type="spellStart"/>
            <w:r w:rsidRPr="000215F4">
              <w:rPr>
                <w:color w:val="000000"/>
                <w:sz w:val="24"/>
                <w:szCs w:val="36"/>
              </w:rPr>
              <w:t>immissions</w:t>
            </w:r>
            <w:proofErr w:type="spellEnd"/>
            <w:r w:rsidRPr="000215F4">
              <w:rPr>
                <w:color w:val="000000"/>
                <w:sz w:val="24"/>
                <w:szCs w:val="36"/>
              </w:rPr>
              <w:t xml:space="preserve"> of impulse shape</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ÖNORM S 9020:1986</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FF"/>
                <w:sz w:val="20"/>
                <w:szCs w:val="36"/>
                <w:u w:val="single"/>
                <w:lang w:val="nb-NO"/>
              </w:rPr>
            </w:pPr>
            <w:r w:rsidRPr="005A5D2A">
              <w:rPr>
                <w:color w:val="0000FF"/>
                <w:sz w:val="20"/>
                <w:szCs w:val="36"/>
                <w:u w:val="single"/>
                <w:lang w:val="nb-NO"/>
              </w:rPr>
              <w:t>www.on-norm.at</w:t>
            </w: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sz w:val="24"/>
                <w:szCs w:val="36"/>
                <w:u w:val="single"/>
              </w:rPr>
            </w:pPr>
            <w:r w:rsidRPr="000215F4">
              <w:t>Assessments of distance – charge relation and structure classification. Discrete PPV limits on four different building categories. Influence of frequency is considered in two steps; distance 15 - 50 m, and above 50 m. PPV criteria is maximum vector sum of all directions.</w:t>
            </w: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Azerbaijan</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Belarus</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Belgium</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German Standards</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DIN 4150</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Bosnia and Herzegovina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Bulgaria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vertAlign w:val="superscript"/>
                <w:lang w:val="nb-NO"/>
              </w:rPr>
            </w:pPr>
            <w:r w:rsidRPr="000215F4">
              <w:rPr>
                <w:color w:val="000000"/>
                <w:sz w:val="24"/>
                <w:szCs w:val="36"/>
                <w:lang w:val="nb-NO"/>
              </w:rPr>
              <w:t>International Standards</w:t>
            </w:r>
            <w:r w:rsidRPr="000215F4">
              <w:rPr>
                <w:color w:val="000000"/>
                <w:sz w:val="24"/>
                <w:szCs w:val="36"/>
                <w:vertAlign w:val="superscript"/>
                <w:lang w:val="nb-NO"/>
              </w:rPr>
              <w:t>2)</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ISO 4866:2010</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Croatia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vertAlign w:val="superscript"/>
                <w:lang w:val="nb-NO"/>
              </w:rPr>
            </w:pPr>
            <w:r w:rsidRPr="000215F4">
              <w:rPr>
                <w:color w:val="000000"/>
                <w:sz w:val="24"/>
                <w:szCs w:val="36"/>
                <w:lang w:val="nb-NO"/>
              </w:rPr>
              <w:t>German Standards</w:t>
            </w:r>
            <w:r w:rsidRPr="000215F4">
              <w:rPr>
                <w:color w:val="000000"/>
                <w:sz w:val="24"/>
                <w:szCs w:val="36"/>
                <w:vertAlign w:val="superscript"/>
                <w:lang w:val="nb-NO"/>
              </w:rPr>
              <w:t>2</w:t>
            </w:r>
            <w:r w:rsidR="00A72505">
              <w:rPr>
                <w:color w:val="000000"/>
                <w:sz w:val="24"/>
                <w:szCs w:val="36"/>
                <w:vertAlign w:val="superscript"/>
                <w:lang w:val="nb-NO"/>
              </w:rPr>
              <w:t>.C</w:t>
            </w:r>
            <w:r w:rsidRPr="000215F4">
              <w:rPr>
                <w:color w:val="000000"/>
                <w:sz w:val="24"/>
                <w:szCs w:val="36"/>
                <w:vertAlign w:val="superscript"/>
                <w:lang w:val="nb-NO"/>
              </w:rPr>
              <w:t>)</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DIN 4150</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Cyprus</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lastRenderedPageBreak/>
              <w:t>Czech Republic</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Loads of technical structures by technical seismicity</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ČSN 73 0040 (1996)</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FF"/>
                <w:sz w:val="20"/>
                <w:szCs w:val="36"/>
                <w:u w:val="single"/>
                <w:lang w:val="nb-NO"/>
              </w:rPr>
            </w:pPr>
            <w:r w:rsidRPr="005A5D2A">
              <w:rPr>
                <w:color w:val="0000FF"/>
                <w:sz w:val="20"/>
                <w:szCs w:val="36"/>
                <w:u w:val="single"/>
                <w:lang w:val="nb-NO"/>
              </w:rPr>
              <w:t>www.cni.cz</w:t>
            </w: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B303E" w:rsidRDefault="000215F4" w:rsidP="008F178A">
            <w:r>
              <w:t>PPV limits estimated regarding ground conditions, classes of resistance (construction types), d</w:t>
            </w:r>
            <w:r w:rsidRPr="000B303E">
              <w:t xml:space="preserve">egree of damage </w:t>
            </w:r>
            <w:r>
              <w:t>(</w:t>
            </w:r>
            <w:r w:rsidRPr="000B303E">
              <w:t>crack size generation</w:t>
            </w:r>
            <w:r>
              <w:t>) and duration and magnitude of work. Three frequency dependent steps (&lt;10 Hz, 10-50 Hz, &gt; 50 Hz). Charge assessment formulas included.</w:t>
            </w:r>
          </w:p>
        </w:tc>
      </w:tr>
      <w:tr w:rsidR="000215F4" w:rsidRPr="00FF013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Denmark (Greenland and Faroe Islands)</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rPr>
            </w:pPr>
            <w:r w:rsidRPr="000215F4">
              <w:rPr>
                <w:color w:val="000000"/>
                <w:sz w:val="24"/>
                <w:szCs w:val="36"/>
              </w:rPr>
              <w:t>German Standards</w:t>
            </w:r>
          </w:p>
          <w:p w:rsidR="000215F4" w:rsidRPr="000215F4" w:rsidRDefault="000215F4" w:rsidP="000215F4">
            <w:pPr>
              <w:autoSpaceDE w:val="0"/>
              <w:autoSpaceDN w:val="0"/>
              <w:adjustRightInd w:val="0"/>
              <w:rPr>
                <w:color w:val="000000"/>
                <w:sz w:val="24"/>
                <w:szCs w:val="36"/>
              </w:rPr>
            </w:pPr>
            <w:r w:rsidRPr="000215F4">
              <w:rPr>
                <w:color w:val="000000"/>
                <w:sz w:val="24"/>
                <w:szCs w:val="36"/>
              </w:rPr>
              <w:t>Swedish Standards</w:t>
            </w:r>
          </w:p>
          <w:p w:rsidR="000215F4" w:rsidRPr="000215F4" w:rsidRDefault="000215F4" w:rsidP="000215F4">
            <w:pPr>
              <w:autoSpaceDE w:val="0"/>
              <w:autoSpaceDN w:val="0"/>
              <w:adjustRightInd w:val="0"/>
              <w:rPr>
                <w:color w:val="000000"/>
                <w:sz w:val="24"/>
                <w:szCs w:val="36"/>
              </w:rPr>
            </w:pPr>
            <w:r w:rsidRPr="000215F4">
              <w:rPr>
                <w:color w:val="000000"/>
                <w:sz w:val="24"/>
                <w:szCs w:val="36"/>
              </w:rPr>
              <w:t>Norwegian Standards</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DIN 4150</w:t>
            </w:r>
          </w:p>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SS 4604866:2011</w:t>
            </w:r>
          </w:p>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NS8141-1:2012</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00"/>
                <w:sz w:val="20"/>
                <w:szCs w:val="36"/>
                <w:lang w:val="nb-NO"/>
              </w:rPr>
            </w:pPr>
            <w:r w:rsidRPr="005A5D2A">
              <w:rPr>
                <w:color w:val="000000"/>
                <w:sz w:val="20"/>
                <w:szCs w:val="36"/>
                <w:lang w:val="nb-NO"/>
              </w:rPr>
              <w:t>http://explosives.dk/anvisning1.aspx</w:t>
            </w: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color w:val="000000"/>
                <w:sz w:val="24"/>
                <w:szCs w:val="36"/>
                <w:lang w:val="nb-NO"/>
              </w:rPr>
            </w:pP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Estonia</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vertAlign w:val="superscript"/>
              </w:rPr>
            </w:pPr>
            <w:r w:rsidRPr="000215F4">
              <w:rPr>
                <w:color w:val="000000"/>
                <w:sz w:val="24"/>
                <w:szCs w:val="36"/>
              </w:rPr>
              <w:t>Blasting projects requirements - Prediction of vibration limits and maximum charge</w:t>
            </w:r>
            <w:r w:rsidRPr="000215F4">
              <w:rPr>
                <w:color w:val="000000"/>
                <w:sz w:val="24"/>
                <w:szCs w:val="36"/>
                <w:vertAlign w:val="superscript"/>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RTL 2005, 63, 910</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FF"/>
                <w:sz w:val="20"/>
                <w:szCs w:val="36"/>
                <w:u w:val="single"/>
                <w:lang w:val="nb-NO"/>
              </w:rPr>
            </w:pPr>
            <w:r w:rsidRPr="005A5D2A">
              <w:rPr>
                <w:color w:val="0000FF"/>
                <w:sz w:val="20"/>
                <w:szCs w:val="36"/>
                <w:u w:val="single"/>
                <w:lang w:val="nb-NO"/>
              </w:rPr>
              <w:t>www.riigiteataja.ee</w:t>
            </w: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8F178A">
            <w:pPr>
              <w:autoSpaceDE w:val="0"/>
              <w:autoSpaceDN w:val="0"/>
              <w:adjustRightInd w:val="0"/>
              <w:rPr>
                <w:sz w:val="24"/>
                <w:szCs w:val="36"/>
                <w:u w:val="single"/>
              </w:rPr>
            </w:pPr>
            <w:r w:rsidRPr="000215F4">
              <w:t>Basically the same as the Swedish standards, except two more construction type classes.</w:t>
            </w:r>
          </w:p>
        </w:tc>
      </w:tr>
      <w:tr w:rsidR="000215F4"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lang w:val="nb-NO"/>
              </w:rPr>
            </w:pPr>
            <w:r w:rsidRPr="000215F4">
              <w:rPr>
                <w:color w:val="000000"/>
                <w:sz w:val="24"/>
                <w:szCs w:val="36"/>
                <w:lang w:val="nb-NO"/>
              </w:rPr>
              <w:t>Finland</w:t>
            </w:r>
          </w:p>
        </w:tc>
        <w:tc>
          <w:tcPr>
            <w:tcW w:w="3258"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rPr>
                <w:color w:val="000000"/>
                <w:sz w:val="24"/>
                <w:szCs w:val="36"/>
                <w:vertAlign w:val="superscript"/>
              </w:rPr>
            </w:pPr>
            <w:r w:rsidRPr="000215F4">
              <w:rPr>
                <w:color w:val="000000"/>
                <w:sz w:val="24"/>
                <w:szCs w:val="36"/>
              </w:rPr>
              <w:t>Finnish guidelines for environmental vibrations from construction work and traffic</w:t>
            </w:r>
            <w:r w:rsidRPr="000215F4">
              <w:rPr>
                <w:color w:val="000000"/>
                <w:sz w:val="24"/>
                <w:szCs w:val="36"/>
                <w:vertAlign w:val="superscript"/>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0215F4" w:rsidRPr="000215F4" w:rsidRDefault="000215F4" w:rsidP="000215F4">
            <w:pPr>
              <w:autoSpaceDE w:val="0"/>
              <w:autoSpaceDN w:val="0"/>
              <w:adjustRightInd w:val="0"/>
              <w:ind w:right="-70"/>
              <w:rPr>
                <w:color w:val="000000"/>
                <w:sz w:val="24"/>
                <w:szCs w:val="36"/>
                <w:lang w:val="nb-NO"/>
              </w:rPr>
            </w:pPr>
            <w:r w:rsidRPr="000215F4">
              <w:rPr>
                <w:color w:val="000000"/>
                <w:sz w:val="24"/>
                <w:szCs w:val="36"/>
                <w:lang w:val="nb-NO"/>
              </w:rPr>
              <w:t>RIL-253-2010</w:t>
            </w:r>
          </w:p>
        </w:tc>
        <w:tc>
          <w:tcPr>
            <w:tcW w:w="2410" w:type="dxa"/>
            <w:tcBorders>
              <w:top w:val="single" w:sz="2" w:space="0" w:color="000000"/>
              <w:left w:val="single" w:sz="2" w:space="0" w:color="000000"/>
              <w:bottom w:val="single" w:sz="2" w:space="0" w:color="000000"/>
              <w:right w:val="single" w:sz="2" w:space="0" w:color="000000"/>
            </w:tcBorders>
            <w:vAlign w:val="center"/>
          </w:tcPr>
          <w:p w:rsidR="000215F4" w:rsidRPr="005A5D2A" w:rsidRDefault="000215F4" w:rsidP="000215F4">
            <w:pPr>
              <w:autoSpaceDE w:val="0"/>
              <w:autoSpaceDN w:val="0"/>
              <w:adjustRightInd w:val="0"/>
              <w:rPr>
                <w:color w:val="0000FF"/>
                <w:sz w:val="20"/>
                <w:szCs w:val="36"/>
                <w:u w:val="single"/>
                <w:lang w:val="nb-NO"/>
              </w:rPr>
            </w:pPr>
            <w:r w:rsidRPr="005A5D2A">
              <w:rPr>
                <w:color w:val="0000FF"/>
                <w:sz w:val="20"/>
                <w:szCs w:val="36"/>
                <w:u w:val="single"/>
                <w:lang w:val="nb-NO"/>
              </w:rPr>
              <w:t>www.ril.fi</w:t>
            </w:r>
          </w:p>
        </w:tc>
        <w:tc>
          <w:tcPr>
            <w:tcW w:w="5103" w:type="dxa"/>
            <w:tcBorders>
              <w:top w:val="single" w:sz="2" w:space="0" w:color="000000"/>
              <w:left w:val="single" w:sz="2" w:space="0" w:color="000000"/>
              <w:bottom w:val="single" w:sz="2" w:space="0" w:color="000000"/>
              <w:right w:val="single" w:sz="2" w:space="0" w:color="000000"/>
            </w:tcBorders>
            <w:vAlign w:val="center"/>
          </w:tcPr>
          <w:p w:rsidR="000215F4" w:rsidRPr="000B303E" w:rsidRDefault="000215F4" w:rsidP="008F178A">
            <w:r>
              <w:t xml:space="preserve">Similar to Swedish standards. Additionally, PPV limit values </w:t>
            </w:r>
            <w:r w:rsidRPr="007F012C">
              <w:t>adjusted according to officially qualified consultant compet</w:t>
            </w:r>
            <w:r>
              <w:t>e</w:t>
            </w:r>
            <w:r w:rsidRPr="007F012C">
              <w:t>nce</w:t>
            </w:r>
            <w:r>
              <w:t xml:space="preserve"> on the actual project.</w:t>
            </w:r>
          </w:p>
        </w:tc>
      </w:tr>
      <w:tr w:rsidR="00BB4257"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color w:val="000000"/>
                <w:sz w:val="24"/>
                <w:szCs w:val="36"/>
                <w:lang w:val="nb-NO"/>
              </w:rPr>
            </w:pPr>
            <w:r w:rsidRPr="000215F4">
              <w:rPr>
                <w:color w:val="000000"/>
                <w:sz w:val="24"/>
                <w:szCs w:val="36"/>
                <w:lang w:val="nb-NO"/>
              </w:rPr>
              <w:t>France</w:t>
            </w:r>
          </w:p>
        </w:tc>
        <w:tc>
          <w:tcPr>
            <w:tcW w:w="3258"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color w:val="000000"/>
                <w:sz w:val="24"/>
                <w:szCs w:val="36"/>
                <w:vertAlign w:val="superscript"/>
              </w:rPr>
            </w:pPr>
            <w:r w:rsidRPr="000215F4">
              <w:rPr>
                <w:color w:val="000000"/>
                <w:sz w:val="24"/>
                <w:szCs w:val="36"/>
              </w:rPr>
              <w:t>Decree of 22 September 1994 concerning mining and quarrying and rock material processing</w:t>
            </w:r>
            <w:r w:rsidRPr="000215F4">
              <w:rPr>
                <w:color w:val="000000"/>
                <w:sz w:val="24"/>
                <w:szCs w:val="36"/>
                <w:vertAlign w:val="superscript"/>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ind w:right="-70"/>
              <w:rPr>
                <w:color w:val="000000"/>
                <w:sz w:val="24"/>
                <w:szCs w:val="36"/>
                <w:lang w:val="nb-NO"/>
              </w:rPr>
            </w:pPr>
            <w:r w:rsidRPr="000215F4">
              <w:rPr>
                <w:color w:val="000000"/>
                <w:sz w:val="24"/>
                <w:szCs w:val="36"/>
                <w:lang w:val="nb-NO"/>
              </w:rPr>
              <w:t>NOR: ENVP9430348A</w:t>
            </w:r>
          </w:p>
        </w:tc>
        <w:tc>
          <w:tcPr>
            <w:tcW w:w="2410" w:type="dxa"/>
            <w:tcBorders>
              <w:top w:val="single" w:sz="2" w:space="0" w:color="000000"/>
              <w:left w:val="single" w:sz="2" w:space="0" w:color="000000"/>
              <w:bottom w:val="single" w:sz="2" w:space="0" w:color="000000"/>
              <w:right w:val="single" w:sz="2" w:space="0" w:color="000000"/>
            </w:tcBorders>
            <w:vAlign w:val="center"/>
          </w:tcPr>
          <w:p w:rsidR="00BB4257" w:rsidRPr="005A5D2A" w:rsidRDefault="00BB4257" w:rsidP="00BB4257">
            <w:pPr>
              <w:autoSpaceDE w:val="0"/>
              <w:autoSpaceDN w:val="0"/>
              <w:adjustRightInd w:val="0"/>
              <w:rPr>
                <w:color w:val="0000FF"/>
                <w:sz w:val="20"/>
                <w:szCs w:val="36"/>
                <w:u w:val="single"/>
                <w:lang w:val="nb-NO"/>
              </w:rPr>
            </w:pPr>
            <w:r w:rsidRPr="005A5D2A">
              <w:rPr>
                <w:color w:val="0000FF"/>
                <w:sz w:val="20"/>
                <w:szCs w:val="36"/>
                <w:u w:val="single"/>
                <w:lang w:val="nb-NO"/>
              </w:rPr>
              <w:t>www.legifrance.gouv.fr</w:t>
            </w:r>
          </w:p>
        </w:tc>
        <w:tc>
          <w:tcPr>
            <w:tcW w:w="5103" w:type="dxa"/>
            <w:tcBorders>
              <w:top w:val="single" w:sz="2" w:space="0" w:color="000000"/>
              <w:left w:val="single" w:sz="2" w:space="0" w:color="000000"/>
              <w:bottom w:val="single" w:sz="2" w:space="0" w:color="000000"/>
              <w:right w:val="single" w:sz="2" w:space="0" w:color="000000"/>
            </w:tcBorders>
            <w:vAlign w:val="center"/>
          </w:tcPr>
          <w:p w:rsidR="00BB4257" w:rsidRPr="000B303E" w:rsidRDefault="00BB4257" w:rsidP="008F178A">
            <w:r>
              <w:t>Only quarrying and mining regulations. M</w:t>
            </w:r>
            <w:r w:rsidRPr="007F249C">
              <w:t>easurement</w:t>
            </w:r>
            <w:r>
              <w:t>s are</w:t>
            </w:r>
            <w:r w:rsidRPr="007F249C">
              <w:t xml:space="preserve"> weight</w:t>
            </w:r>
            <w:r>
              <w:t>ed</w:t>
            </w:r>
            <w:r w:rsidRPr="007F249C">
              <w:t xml:space="preserve"> according to a predefined </w:t>
            </w:r>
            <w:r>
              <w:t>f</w:t>
            </w:r>
            <w:r w:rsidRPr="007F249C">
              <w:t xml:space="preserve">requency vs. </w:t>
            </w:r>
            <w:r>
              <w:t>m</w:t>
            </w:r>
            <w:r w:rsidRPr="007F249C">
              <w:t>ovement log graph</w:t>
            </w:r>
            <w:r>
              <w:t xml:space="preserve">, giving a maximum PPV level of 10 mm/s for </w:t>
            </w:r>
            <w:r w:rsidRPr="00DB78A2">
              <w:t>buildings occupied or inhabited by third parties or used for any other human activity and all monuments</w:t>
            </w:r>
            <w:r>
              <w:t xml:space="preserve"> constructions. (</w:t>
            </w:r>
            <w:r w:rsidRPr="00336E9D">
              <w:t>Blasting in Public works has no obligation to follow th</w:t>
            </w:r>
            <w:r>
              <w:t>e</w:t>
            </w:r>
            <w:r w:rsidRPr="00336E9D">
              <w:t xml:space="preserve"> standard. Specific limits are set depending on the site environment and linked administrations.</w:t>
            </w:r>
            <w:r>
              <w:t>)</w:t>
            </w:r>
          </w:p>
        </w:tc>
      </w:tr>
      <w:tr w:rsidR="00BB4257"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color w:val="000000"/>
                <w:sz w:val="24"/>
                <w:szCs w:val="36"/>
                <w:lang w:val="nb-NO"/>
              </w:rPr>
            </w:pPr>
            <w:r w:rsidRPr="000215F4">
              <w:rPr>
                <w:color w:val="000000"/>
                <w:sz w:val="24"/>
                <w:szCs w:val="36"/>
                <w:lang w:val="nb-NO"/>
              </w:rPr>
              <w:t>Georgia</w:t>
            </w:r>
          </w:p>
        </w:tc>
        <w:tc>
          <w:tcPr>
            <w:tcW w:w="3258"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BB4257" w:rsidRPr="005A5D2A" w:rsidRDefault="00BB4257" w:rsidP="00BB4257">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8F178A">
            <w:pPr>
              <w:autoSpaceDE w:val="0"/>
              <w:autoSpaceDN w:val="0"/>
              <w:adjustRightInd w:val="0"/>
              <w:rPr>
                <w:color w:val="000000"/>
                <w:sz w:val="24"/>
                <w:szCs w:val="36"/>
                <w:lang w:val="nb-NO"/>
              </w:rPr>
            </w:pPr>
          </w:p>
        </w:tc>
      </w:tr>
      <w:tr w:rsidR="00BB4257"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color w:val="000000"/>
                <w:sz w:val="24"/>
                <w:szCs w:val="36"/>
                <w:lang w:val="nb-NO"/>
              </w:rPr>
            </w:pPr>
            <w:r w:rsidRPr="000215F4">
              <w:rPr>
                <w:color w:val="000000"/>
                <w:sz w:val="24"/>
                <w:szCs w:val="36"/>
                <w:lang w:val="nb-NO"/>
              </w:rPr>
              <w:t>Germany</w:t>
            </w:r>
          </w:p>
        </w:tc>
        <w:tc>
          <w:tcPr>
            <w:tcW w:w="3258"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ind w:right="-70"/>
              <w:rPr>
                <w:color w:val="000000"/>
                <w:sz w:val="24"/>
                <w:szCs w:val="36"/>
              </w:rPr>
            </w:pPr>
            <w:r w:rsidRPr="000215F4">
              <w:rPr>
                <w:color w:val="000000"/>
                <w:sz w:val="24"/>
                <w:szCs w:val="36"/>
              </w:rPr>
              <w:t>Vibrations in buildings - Part 1: Prediction of vibration parameters</w:t>
            </w:r>
          </w:p>
          <w:p w:rsidR="00BB4257" w:rsidRPr="000215F4" w:rsidRDefault="00BB4257" w:rsidP="00BB4257">
            <w:pPr>
              <w:autoSpaceDE w:val="0"/>
              <w:autoSpaceDN w:val="0"/>
              <w:adjustRightInd w:val="0"/>
              <w:rPr>
                <w:color w:val="000000"/>
                <w:sz w:val="24"/>
                <w:szCs w:val="36"/>
              </w:rPr>
            </w:pPr>
            <w:r w:rsidRPr="000215F4">
              <w:rPr>
                <w:color w:val="000000"/>
                <w:sz w:val="24"/>
                <w:szCs w:val="36"/>
              </w:rPr>
              <w:t>Vibrations in buildings - Part 2: Effects on persons in buildings</w:t>
            </w:r>
          </w:p>
          <w:p w:rsidR="00BB4257" w:rsidRPr="000215F4" w:rsidRDefault="00BB4257" w:rsidP="00BB4257">
            <w:pPr>
              <w:autoSpaceDE w:val="0"/>
              <w:autoSpaceDN w:val="0"/>
              <w:adjustRightInd w:val="0"/>
              <w:rPr>
                <w:color w:val="000000"/>
                <w:sz w:val="24"/>
                <w:szCs w:val="36"/>
              </w:rPr>
            </w:pPr>
            <w:r w:rsidRPr="000215F4">
              <w:rPr>
                <w:color w:val="000000"/>
                <w:sz w:val="24"/>
                <w:szCs w:val="36"/>
              </w:rPr>
              <w:t>Vibrations in buildings - Part 3: Effects on structures</w:t>
            </w:r>
          </w:p>
        </w:tc>
        <w:tc>
          <w:tcPr>
            <w:tcW w:w="2551"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ind w:right="-70"/>
              <w:rPr>
                <w:color w:val="000000"/>
                <w:sz w:val="24"/>
                <w:szCs w:val="36"/>
                <w:lang w:val="nb-NO"/>
              </w:rPr>
            </w:pPr>
            <w:r w:rsidRPr="000215F4">
              <w:rPr>
                <w:color w:val="000000"/>
                <w:sz w:val="24"/>
                <w:szCs w:val="36"/>
                <w:lang w:val="nb-NO"/>
              </w:rPr>
              <w:t>DIN 4150-1:2001-06</w:t>
            </w:r>
          </w:p>
          <w:p w:rsidR="00BB4257" w:rsidRPr="000215F4" w:rsidRDefault="00BB4257" w:rsidP="00BB4257">
            <w:pPr>
              <w:autoSpaceDE w:val="0"/>
              <w:autoSpaceDN w:val="0"/>
              <w:adjustRightInd w:val="0"/>
              <w:ind w:right="-70"/>
              <w:rPr>
                <w:color w:val="000000"/>
                <w:sz w:val="24"/>
                <w:szCs w:val="36"/>
                <w:lang w:val="nb-NO"/>
              </w:rPr>
            </w:pPr>
            <w:r w:rsidRPr="000215F4">
              <w:rPr>
                <w:color w:val="000000"/>
                <w:sz w:val="24"/>
                <w:szCs w:val="36"/>
                <w:lang w:val="nb-NO"/>
              </w:rPr>
              <w:t>DIN 4150-2:1999-06</w:t>
            </w:r>
          </w:p>
          <w:p w:rsidR="00BB4257" w:rsidRPr="000215F4" w:rsidRDefault="00BB4257" w:rsidP="00BB4257">
            <w:pPr>
              <w:autoSpaceDE w:val="0"/>
              <w:autoSpaceDN w:val="0"/>
              <w:adjustRightInd w:val="0"/>
              <w:ind w:right="-70"/>
              <w:rPr>
                <w:color w:val="000000"/>
                <w:sz w:val="24"/>
                <w:szCs w:val="36"/>
                <w:lang w:val="nb-NO"/>
              </w:rPr>
            </w:pPr>
            <w:r w:rsidRPr="000215F4">
              <w:rPr>
                <w:color w:val="000000"/>
                <w:sz w:val="24"/>
                <w:szCs w:val="36"/>
                <w:lang w:val="nb-NO"/>
              </w:rPr>
              <w:t>DIN 4150-3:1999-02</w:t>
            </w:r>
          </w:p>
        </w:tc>
        <w:tc>
          <w:tcPr>
            <w:tcW w:w="2410" w:type="dxa"/>
            <w:tcBorders>
              <w:top w:val="single" w:sz="2" w:space="0" w:color="000000"/>
              <w:left w:val="single" w:sz="2" w:space="0" w:color="000000"/>
              <w:bottom w:val="single" w:sz="2" w:space="0" w:color="000000"/>
              <w:right w:val="single" w:sz="2" w:space="0" w:color="000000"/>
            </w:tcBorders>
            <w:vAlign w:val="center"/>
          </w:tcPr>
          <w:p w:rsidR="00BB4257" w:rsidRPr="005A5D2A" w:rsidRDefault="00DA2C28" w:rsidP="00BB4257">
            <w:pPr>
              <w:autoSpaceDE w:val="0"/>
              <w:autoSpaceDN w:val="0"/>
              <w:adjustRightInd w:val="0"/>
              <w:rPr>
                <w:color w:val="0000FF"/>
                <w:sz w:val="20"/>
                <w:szCs w:val="36"/>
                <w:u w:val="single"/>
                <w:lang w:val="nb-NO"/>
              </w:rPr>
            </w:pPr>
            <w:hyperlink r:id="rId6" w:history="1">
              <w:r w:rsidR="00BB4257" w:rsidRPr="005A5D2A">
                <w:rPr>
                  <w:rStyle w:val="Hyperlnk"/>
                  <w:sz w:val="20"/>
                  <w:szCs w:val="36"/>
                  <w:lang w:val="nb-NO"/>
                </w:rPr>
                <w:t>www.din.de</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BB4257" w:rsidRPr="000B303E" w:rsidRDefault="00BB4257" w:rsidP="008F178A">
            <w:r>
              <w:t xml:space="preserve">Standard divided in three separate parts. Part 3 treats the vibration effects on structures. PPV limits based on type of structure, and three frequency levels (1-10 Hz, 10-50 Hz, </w:t>
            </w:r>
            <w:proofErr w:type="gramStart"/>
            <w:r>
              <w:t>50</w:t>
            </w:r>
            <w:proofErr w:type="gramEnd"/>
            <w:r>
              <w:t>-100 Hz). Above 100 Hz the given values may be used as minimum criteria. Ground conditions not included in the PPV g values guide lines. The standard h</w:t>
            </w:r>
            <w:r w:rsidRPr="005A4540">
              <w:t>a</w:t>
            </w:r>
            <w:r>
              <w:t>s</w:t>
            </w:r>
            <w:r w:rsidRPr="005A4540">
              <w:t xml:space="preserve"> a </w:t>
            </w:r>
            <w:r>
              <w:t xml:space="preserve">maximum PPV </w:t>
            </w:r>
            <w:r w:rsidRPr="005A4540">
              <w:t>value for vibration measures at the top floor of the</w:t>
            </w:r>
            <w:r>
              <w:t xml:space="preserve"> particular</w:t>
            </w:r>
            <w:r w:rsidRPr="005A4540">
              <w:t xml:space="preserve"> building</w:t>
            </w:r>
            <w:r>
              <w:t xml:space="preserve">, according to each </w:t>
            </w:r>
            <w:r>
              <w:lastRenderedPageBreak/>
              <w:t xml:space="preserve">frequency level. </w:t>
            </w:r>
          </w:p>
        </w:tc>
      </w:tr>
      <w:tr w:rsidR="00BB4257"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BB4257" w:rsidRPr="00A72505" w:rsidRDefault="00A72505" w:rsidP="00A72505">
            <w:pPr>
              <w:autoSpaceDE w:val="0"/>
              <w:autoSpaceDN w:val="0"/>
              <w:adjustRightInd w:val="0"/>
              <w:rPr>
                <w:color w:val="000000"/>
                <w:sz w:val="24"/>
                <w:szCs w:val="36"/>
              </w:rPr>
            </w:pPr>
            <w:r>
              <w:rPr>
                <w:color w:val="000000"/>
                <w:sz w:val="24"/>
                <w:szCs w:val="36"/>
              </w:rPr>
              <w:lastRenderedPageBreak/>
              <w:t>Hellas/</w:t>
            </w:r>
            <w:r w:rsidR="00BB4257" w:rsidRPr="00A72505">
              <w:rPr>
                <w:color w:val="000000"/>
                <w:sz w:val="24"/>
                <w:szCs w:val="36"/>
              </w:rPr>
              <w:t>Greece</w:t>
            </w:r>
          </w:p>
        </w:tc>
        <w:tc>
          <w:tcPr>
            <w:tcW w:w="3258" w:type="dxa"/>
            <w:tcBorders>
              <w:top w:val="single" w:sz="2" w:space="0" w:color="000000"/>
              <w:left w:val="single" w:sz="2" w:space="0" w:color="000000"/>
              <w:bottom w:val="single" w:sz="2" w:space="0" w:color="000000"/>
              <w:right w:val="single" w:sz="2" w:space="0" w:color="000000"/>
            </w:tcBorders>
            <w:vAlign w:val="center"/>
          </w:tcPr>
          <w:p w:rsidR="00BB4257" w:rsidRPr="00A72505" w:rsidRDefault="00A72505" w:rsidP="00A72505">
            <w:pPr>
              <w:autoSpaceDE w:val="0"/>
              <w:autoSpaceDN w:val="0"/>
              <w:adjustRightInd w:val="0"/>
              <w:rPr>
                <w:color w:val="000000"/>
                <w:sz w:val="24"/>
                <w:szCs w:val="36"/>
                <w:vertAlign w:val="superscript"/>
                <w:lang w:val="nb-NO"/>
              </w:rPr>
            </w:pPr>
            <w:r w:rsidRPr="000215F4">
              <w:rPr>
                <w:color w:val="000000"/>
                <w:sz w:val="24"/>
                <w:szCs w:val="36"/>
                <w:lang w:val="nb-NO"/>
              </w:rPr>
              <w:t>German Standards</w:t>
            </w:r>
            <w:r>
              <w:rPr>
                <w:color w:val="000000"/>
                <w:sz w:val="24"/>
                <w:szCs w:val="36"/>
                <w:vertAlign w:val="superscript"/>
                <w:lang w:val="nb-NO"/>
              </w:rPr>
              <w:t>2)</w:t>
            </w:r>
          </w:p>
        </w:tc>
        <w:tc>
          <w:tcPr>
            <w:tcW w:w="2551"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A72505" w:rsidP="00BB4257">
            <w:pPr>
              <w:autoSpaceDE w:val="0"/>
              <w:autoSpaceDN w:val="0"/>
              <w:adjustRightInd w:val="0"/>
              <w:ind w:right="-70"/>
              <w:rPr>
                <w:color w:val="000000"/>
                <w:sz w:val="24"/>
                <w:szCs w:val="36"/>
                <w:lang w:val="nb-NO"/>
              </w:rPr>
            </w:pPr>
            <w:r>
              <w:rPr>
                <w:color w:val="000000"/>
                <w:sz w:val="24"/>
                <w:szCs w:val="36"/>
                <w:lang w:val="nb-NO"/>
              </w:rPr>
              <w:t>DIN 4150</w:t>
            </w:r>
          </w:p>
        </w:tc>
        <w:tc>
          <w:tcPr>
            <w:tcW w:w="2410" w:type="dxa"/>
            <w:tcBorders>
              <w:top w:val="single" w:sz="2" w:space="0" w:color="000000"/>
              <w:left w:val="single" w:sz="2" w:space="0" w:color="000000"/>
              <w:bottom w:val="single" w:sz="2" w:space="0" w:color="000000"/>
              <w:right w:val="single" w:sz="2" w:space="0" w:color="000000"/>
            </w:tcBorders>
            <w:vAlign w:val="center"/>
          </w:tcPr>
          <w:p w:rsidR="00BB4257" w:rsidRPr="005A5D2A" w:rsidRDefault="00BB4257" w:rsidP="00BB4257">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8F178A">
            <w:pPr>
              <w:autoSpaceDE w:val="0"/>
              <w:autoSpaceDN w:val="0"/>
              <w:adjustRightInd w:val="0"/>
              <w:rPr>
                <w:color w:val="000000"/>
                <w:sz w:val="24"/>
                <w:szCs w:val="36"/>
                <w:lang w:val="nb-NO"/>
              </w:rPr>
            </w:pPr>
          </w:p>
        </w:tc>
      </w:tr>
      <w:tr w:rsidR="00BB4257"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color w:val="000000"/>
                <w:sz w:val="24"/>
                <w:szCs w:val="36"/>
                <w:lang w:val="nb-NO"/>
              </w:rPr>
            </w:pPr>
            <w:r w:rsidRPr="000215F4">
              <w:rPr>
                <w:color w:val="000000"/>
                <w:sz w:val="24"/>
                <w:szCs w:val="36"/>
                <w:lang w:val="nb-NO"/>
              </w:rPr>
              <w:t>Hungary</w:t>
            </w:r>
          </w:p>
        </w:tc>
        <w:tc>
          <w:tcPr>
            <w:tcW w:w="3258"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rPr>
                <w:sz w:val="24"/>
                <w:szCs w:val="36"/>
                <w:lang w:val="nb-NO"/>
              </w:rPr>
            </w:pPr>
            <w:r w:rsidRPr="000215F4">
              <w:rPr>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BB4257">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BB4257" w:rsidRPr="005A5D2A" w:rsidRDefault="00BB4257" w:rsidP="00BB4257">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BB4257" w:rsidRPr="000215F4" w:rsidRDefault="00BB4257"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Iceland</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vertAlign w:val="superscript"/>
                <w:lang w:val="nb-NO"/>
              </w:rPr>
            </w:pPr>
            <w:r w:rsidRPr="000215F4">
              <w:rPr>
                <w:color w:val="000000"/>
                <w:sz w:val="24"/>
                <w:szCs w:val="36"/>
                <w:lang w:val="nb-NO"/>
              </w:rPr>
              <w:t>Explosives Regulations</w:t>
            </w:r>
            <w:r w:rsidRPr="000215F4">
              <w:rPr>
                <w:color w:val="000000"/>
                <w:sz w:val="24"/>
                <w:szCs w:val="36"/>
                <w:vertAlign w:val="superscript"/>
                <w:lang w:val="nb-NO"/>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No. 684/1999</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FF"/>
                <w:sz w:val="20"/>
                <w:szCs w:val="36"/>
                <w:u w:val="single"/>
                <w:lang w:val="nb-NO"/>
              </w:rPr>
            </w:pPr>
            <w:hyperlink r:id="rId7" w:history="1">
              <w:r w:rsidR="008F178A" w:rsidRPr="005A5D2A">
                <w:rPr>
                  <w:rStyle w:val="Hyperlnk"/>
                  <w:sz w:val="20"/>
                  <w:szCs w:val="36"/>
                  <w:lang w:val="nb-NO"/>
                </w:rPr>
                <w:t>www.reglugerd.is</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r>
              <w:t xml:space="preserve">Discrete PPV limits based on ground conditions, construction type and building material, duration of project. </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Ireland</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vertAlign w:val="superscript"/>
                <w:lang w:val="nb-NO"/>
              </w:rPr>
            </w:pPr>
            <w:r w:rsidRPr="000215F4">
              <w:rPr>
                <w:color w:val="000000"/>
                <w:sz w:val="24"/>
                <w:szCs w:val="36"/>
                <w:lang w:val="nb-NO"/>
              </w:rPr>
              <w:t>British Standards (UK)</w:t>
            </w:r>
            <w:r w:rsidRPr="000215F4">
              <w:rPr>
                <w:color w:val="000000"/>
                <w:sz w:val="24"/>
                <w:szCs w:val="36"/>
                <w:vertAlign w:val="superscript"/>
                <w:lang w:val="nb-NO"/>
              </w:rPr>
              <w:t>2</w:t>
            </w:r>
            <w:r w:rsidR="009603D2">
              <w:rPr>
                <w:color w:val="000000"/>
                <w:sz w:val="24"/>
                <w:szCs w:val="36"/>
                <w:vertAlign w:val="superscript"/>
                <w:lang w:val="nb-NO"/>
              </w:rPr>
              <w:t>.D</w:t>
            </w:r>
            <w:r w:rsidRPr="000215F4">
              <w:rPr>
                <w:color w:val="000000"/>
                <w:sz w:val="24"/>
                <w:szCs w:val="36"/>
                <w:vertAlign w:val="superscript"/>
                <w:lang w:val="nb-NO"/>
              </w:rPr>
              <w:t>)</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Italy</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A72505" w:rsidRDefault="008F178A" w:rsidP="008F178A">
            <w:pPr>
              <w:autoSpaceDE w:val="0"/>
              <w:autoSpaceDN w:val="0"/>
              <w:adjustRightInd w:val="0"/>
              <w:rPr>
                <w:color w:val="000000"/>
                <w:sz w:val="24"/>
                <w:szCs w:val="36"/>
                <w:vertAlign w:val="superscript"/>
              </w:rPr>
            </w:pPr>
            <w:r w:rsidRPr="00A72505">
              <w:rPr>
                <w:color w:val="000000"/>
                <w:sz w:val="24"/>
                <w:szCs w:val="36"/>
              </w:rPr>
              <w:t>German Standards (Swiss standards)</w:t>
            </w:r>
            <w:r w:rsidRPr="00A72505">
              <w:rPr>
                <w:color w:val="000000"/>
                <w:sz w:val="24"/>
                <w:szCs w:val="36"/>
                <w:vertAlign w:val="superscript"/>
              </w:rPr>
              <w:t>2</w:t>
            </w:r>
            <w:r w:rsidR="00A72505" w:rsidRPr="00A72505">
              <w:rPr>
                <w:color w:val="000000"/>
                <w:sz w:val="24"/>
                <w:szCs w:val="36"/>
                <w:vertAlign w:val="superscript"/>
              </w:rPr>
              <w:t>.A</w:t>
            </w:r>
            <w:r w:rsidRPr="00A72505">
              <w:rPr>
                <w:color w:val="000000"/>
                <w:sz w:val="24"/>
                <w:szCs w:val="36"/>
                <w:vertAlign w:val="superscript"/>
              </w:rPr>
              <w:t>)</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DIN 4150</w:t>
            </w:r>
          </w:p>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(SN 640 312a)</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Kazakhstan</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Latvia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Liechtenstein</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German Standards (Swiss standards)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DIN 4150</w:t>
            </w:r>
          </w:p>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(SN 640 312a)</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Lithuania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Luxembourg</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German Standards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DIN 4550</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Macedonia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Malta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British Standards (UK)</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BS ISO 4866:2010</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Moldova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Monaco</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lastRenderedPageBreak/>
              <w:t>Montenegro</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Netherlands</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German Standards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DIN 4550</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Norway</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 xml:space="preserve">Vibration and shock - Guideline limit values for construction work, open-pit and pit mining and traffic. Part 1: Effect of vibration and </w:t>
            </w:r>
            <w:proofErr w:type="spellStart"/>
            <w:r w:rsidRPr="000215F4">
              <w:rPr>
                <w:color w:val="000000"/>
                <w:sz w:val="24"/>
                <w:szCs w:val="36"/>
              </w:rPr>
              <w:t>airblast</w:t>
            </w:r>
            <w:proofErr w:type="spellEnd"/>
            <w:r w:rsidRPr="000215F4">
              <w:rPr>
                <w:color w:val="000000"/>
                <w:sz w:val="24"/>
                <w:szCs w:val="36"/>
              </w:rPr>
              <w:t xml:space="preserve"> from blasting on constructions, including tunnels and caverns.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NS 8141-1:2012</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FF"/>
                <w:sz w:val="20"/>
                <w:szCs w:val="36"/>
                <w:u w:val="single"/>
                <w:lang w:val="nb-NO"/>
              </w:rPr>
            </w:pPr>
            <w:hyperlink r:id="rId8" w:history="1">
              <w:r w:rsidR="008F178A" w:rsidRPr="005A5D2A">
                <w:rPr>
                  <w:rStyle w:val="Hyperlnk"/>
                  <w:sz w:val="20"/>
                  <w:szCs w:val="36"/>
                  <w:lang w:val="nb-NO"/>
                </w:rPr>
                <w:t>www.standard.no</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B303E" w:rsidRDefault="008F178A" w:rsidP="008F178A">
            <w:r>
              <w:t xml:space="preserve">PPV limits are frequency weighed. The PPV limits are based on an equation including factors related to construction type and condition, building material, and project duration. Ground conditions are not included in the vibration velocity guideline values. Separate PPV limits for underground facilities (tunnels and caverns). </w:t>
            </w:r>
            <w:r>
              <w:br/>
              <w:t>The previous standard NS8141:2001 (still valid in a transition period till 2015), are similar to the Swedish standard.</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Poland</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vertAlign w:val="superscript"/>
              </w:rPr>
            </w:pPr>
            <w:r w:rsidRPr="000215F4">
              <w:rPr>
                <w:color w:val="000000"/>
                <w:sz w:val="24"/>
                <w:szCs w:val="36"/>
              </w:rPr>
              <w:t>Evaluation of harmful vibrations transmitted through the ground to buildings</w:t>
            </w:r>
            <w:r w:rsidRPr="000215F4">
              <w:rPr>
                <w:color w:val="000000"/>
                <w:sz w:val="24"/>
                <w:szCs w:val="36"/>
                <w:vertAlign w:val="superscript"/>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PN-85/B-02170</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u w:val="single"/>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r>
              <w:t xml:space="preserve">PPV limits are dependent on frequency, building shape (low or high) and the degree of damage influence on the buildings. (PPV limits must be estimated by one of the Polish Mining Office's two authorized bodies: </w:t>
            </w:r>
            <w:proofErr w:type="spellStart"/>
            <w:r>
              <w:t>Exploconsult</w:t>
            </w:r>
            <w:proofErr w:type="spellEnd"/>
            <w:r>
              <w:t xml:space="preserve"> or </w:t>
            </w:r>
            <w:proofErr w:type="spellStart"/>
            <w:r>
              <w:t>Poltegor</w:t>
            </w:r>
            <w:proofErr w:type="spellEnd"/>
            <w:r>
              <w:t>.)</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Portugal</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vertAlign w:val="superscript"/>
              </w:rPr>
            </w:pPr>
            <w:r w:rsidRPr="000215F4">
              <w:rPr>
                <w:color w:val="000000"/>
                <w:sz w:val="24"/>
                <w:szCs w:val="36"/>
              </w:rPr>
              <w:t>Evaluation of influence of vibrations on buildings caused by explosions or similar sources</w:t>
            </w:r>
            <w:r w:rsidRPr="000215F4">
              <w:rPr>
                <w:color w:val="000000"/>
                <w:sz w:val="24"/>
                <w:szCs w:val="36"/>
                <w:vertAlign w:val="superscript"/>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NP 2074:1983</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FF"/>
                <w:sz w:val="20"/>
                <w:szCs w:val="36"/>
                <w:u w:val="single"/>
                <w:lang w:val="nb-NO"/>
              </w:rPr>
            </w:pPr>
            <w:hyperlink r:id="rId9" w:history="1">
              <w:r w:rsidR="008F178A" w:rsidRPr="005A5D2A">
                <w:rPr>
                  <w:rStyle w:val="Hyperlnk"/>
                  <w:sz w:val="20"/>
                  <w:szCs w:val="36"/>
                  <w:lang w:val="nb-NO"/>
                </w:rPr>
                <w:t>www.bnportugal.pt</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r>
              <w:t xml:space="preserve">PPV limits are </w:t>
            </w:r>
            <w:r w:rsidRPr="0087560B">
              <w:t>set</w:t>
            </w:r>
            <w:r>
              <w:t xml:space="preserve"> </w:t>
            </w:r>
            <w:r w:rsidRPr="0087560B">
              <w:t xml:space="preserve">as a product of three factors, </w:t>
            </w:r>
            <w:r>
              <w:t>which include ground conditions</w:t>
            </w:r>
            <w:r w:rsidRPr="0087560B">
              <w:t>, construction characteristics</w:t>
            </w:r>
            <w:r>
              <w:t xml:space="preserve"> </w:t>
            </w:r>
            <w:r w:rsidRPr="0087560B">
              <w:t>and the number of blasts per day</w:t>
            </w:r>
            <w:r>
              <w:t>.</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Romania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Russia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Vibration and shock. Vibration of buildings. Measurement of vibration and evaluation of its effects on structure</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GOST R 52892-2007</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FF"/>
                <w:sz w:val="20"/>
                <w:szCs w:val="36"/>
                <w:u w:val="single"/>
                <w:lang w:val="nb-NO"/>
              </w:rPr>
            </w:pPr>
            <w:hyperlink r:id="rId10" w:history="1">
              <w:r w:rsidR="008F178A" w:rsidRPr="005A5D2A">
                <w:rPr>
                  <w:rStyle w:val="Hyperlnk"/>
                  <w:sz w:val="20"/>
                  <w:szCs w:val="36"/>
                  <w:lang w:val="nb-NO"/>
                </w:rPr>
                <w:t>www.runorm.com</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r>
              <w:t>The standard specifies the methods of measurement of vibration and evaluation of its impact on the design of buildings. Impact assessment is based on the risk of structural damage that could reduce its reliability.</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San Marino</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Serbia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lastRenderedPageBreak/>
              <w:t>Slovak Republic</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EN Eurocode</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EUR 25204 EN-2012</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Slovenia</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German Standards (Austrian and Swiss)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rPr>
            </w:pPr>
            <w:r w:rsidRPr="000215F4">
              <w:rPr>
                <w:color w:val="000000"/>
                <w:sz w:val="24"/>
                <w:szCs w:val="36"/>
              </w:rPr>
              <w:t>DIN 4150</w:t>
            </w:r>
          </w:p>
          <w:p w:rsidR="008F178A" w:rsidRPr="000215F4" w:rsidRDefault="008F178A" w:rsidP="008F178A">
            <w:pPr>
              <w:autoSpaceDE w:val="0"/>
              <w:autoSpaceDN w:val="0"/>
              <w:adjustRightInd w:val="0"/>
              <w:ind w:right="-70"/>
              <w:rPr>
                <w:color w:val="000000"/>
                <w:sz w:val="24"/>
                <w:szCs w:val="36"/>
              </w:rPr>
            </w:pPr>
            <w:r w:rsidRPr="000215F4">
              <w:rPr>
                <w:color w:val="000000"/>
                <w:sz w:val="24"/>
                <w:szCs w:val="36"/>
              </w:rPr>
              <w:t>(ÖNORM S 9020:1986)</w:t>
            </w:r>
          </w:p>
          <w:p w:rsidR="008F178A" w:rsidRPr="000215F4" w:rsidRDefault="008F178A" w:rsidP="008F178A">
            <w:pPr>
              <w:autoSpaceDE w:val="0"/>
              <w:autoSpaceDN w:val="0"/>
              <w:adjustRightInd w:val="0"/>
              <w:ind w:right="-70"/>
              <w:rPr>
                <w:color w:val="000000"/>
                <w:sz w:val="24"/>
                <w:szCs w:val="36"/>
              </w:rPr>
            </w:pPr>
            <w:r w:rsidRPr="000215F4">
              <w:rPr>
                <w:color w:val="000000"/>
                <w:sz w:val="24"/>
                <w:szCs w:val="36"/>
              </w:rPr>
              <w:t>(SN 640 312a)</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Spain</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Control of vibration made by blasting</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UNE 22381:1993</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FF"/>
                <w:sz w:val="20"/>
                <w:szCs w:val="36"/>
                <w:u w:val="single"/>
                <w:lang w:val="nb-NO"/>
              </w:rPr>
            </w:pPr>
            <w:hyperlink r:id="rId11" w:history="1">
              <w:r w:rsidR="008F178A" w:rsidRPr="005A5D2A">
                <w:rPr>
                  <w:rStyle w:val="Hyperlnk"/>
                  <w:sz w:val="20"/>
                  <w:szCs w:val="36"/>
                  <w:lang w:val="nb-NO"/>
                </w:rPr>
                <w:t>www.aenor.es</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r>
              <w:t>Vibration criteria are both in PPV and particle displacement according to three structure classes and three frequency ranges. (2 Hz – 15 Hz, PPV is used. 15 Hz - 75 Hz particle displacement is used, &gt;75 Hz PPV is used).</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Sweden</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Vibration and shock - Guidance levels for blasting-induced vibration in buildings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SS 4604866:2011</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00"/>
                <w:sz w:val="20"/>
                <w:szCs w:val="36"/>
                <w:lang w:val="nb-NO"/>
              </w:rPr>
            </w:pPr>
            <w:hyperlink r:id="rId12" w:history="1">
              <w:r w:rsidR="008F178A" w:rsidRPr="005A5D2A">
                <w:rPr>
                  <w:rStyle w:val="Hyperlnk"/>
                  <w:sz w:val="20"/>
                  <w:szCs w:val="36"/>
                  <w:lang w:val="nb-NO"/>
                </w:rPr>
                <w:t>www.sis.se</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B303E" w:rsidRDefault="008F178A" w:rsidP="008F178A">
            <w:r>
              <w:t>PPV limits estimated according to an equation with factors describing type of ground, type of structure and construction material, distance and project time.</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Switzerland</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vertAlign w:val="superscript"/>
              </w:rPr>
            </w:pPr>
            <w:r w:rsidRPr="000215F4">
              <w:rPr>
                <w:color w:val="000000"/>
                <w:sz w:val="24"/>
                <w:szCs w:val="36"/>
              </w:rPr>
              <w:t>Vibrations. The effect of vibrations on constructions.</w:t>
            </w:r>
            <w:r w:rsidRPr="000215F4">
              <w:rPr>
                <w:color w:val="000000"/>
                <w:sz w:val="24"/>
                <w:szCs w:val="36"/>
                <w:vertAlign w:val="superscript"/>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SN 640312a:1992-04</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DA2C28" w:rsidP="008F178A">
            <w:pPr>
              <w:autoSpaceDE w:val="0"/>
              <w:autoSpaceDN w:val="0"/>
              <w:adjustRightInd w:val="0"/>
              <w:rPr>
                <w:color w:val="0000FF"/>
                <w:sz w:val="20"/>
                <w:szCs w:val="36"/>
                <w:u w:val="single"/>
                <w:lang w:val="nb-NO"/>
              </w:rPr>
            </w:pPr>
            <w:hyperlink r:id="rId13" w:history="1">
              <w:r w:rsidR="008F178A" w:rsidRPr="005A5D2A">
                <w:rPr>
                  <w:rStyle w:val="Hyperlnk"/>
                  <w:sz w:val="20"/>
                  <w:szCs w:val="36"/>
                  <w:lang w:val="nb-NO"/>
                </w:rPr>
                <w:t>www.snv.ch</w:t>
              </w:r>
            </w:hyperlink>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B303E" w:rsidRDefault="008F178A" w:rsidP="008F178A">
            <w:r>
              <w:t xml:space="preserve">Discrete </w:t>
            </w:r>
            <w:r w:rsidRPr="00721627">
              <w:t xml:space="preserve">PPV limits based on building sensitivity, </w:t>
            </w:r>
            <w:r>
              <w:t>number of impacts and three dominant frequency steps (&lt;30 Hz, 30 – 60 Hz, &gt;60 Hz). PPV criteria are maximum vector sum of all directions.</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Turkey</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vertAlign w:val="superscript"/>
                <w:lang w:val="nb-NO"/>
              </w:rPr>
            </w:pPr>
            <w:r w:rsidRPr="000215F4">
              <w:rPr>
                <w:color w:val="000000"/>
                <w:sz w:val="24"/>
                <w:szCs w:val="36"/>
                <w:lang w:val="nb-NO"/>
              </w:rPr>
              <w:t>German Standards</w:t>
            </w:r>
            <w:r w:rsidRPr="000215F4">
              <w:rPr>
                <w:color w:val="000000"/>
                <w:sz w:val="24"/>
                <w:szCs w:val="36"/>
                <w:vertAlign w:val="superscript"/>
                <w:lang w:val="nb-NO"/>
              </w:rPr>
              <w:t>2</w:t>
            </w:r>
            <w:r w:rsidR="00A72505">
              <w:rPr>
                <w:color w:val="000000"/>
                <w:sz w:val="24"/>
                <w:szCs w:val="36"/>
                <w:vertAlign w:val="superscript"/>
                <w:lang w:val="nb-NO"/>
              </w:rPr>
              <w:t>.B</w:t>
            </w:r>
            <w:r w:rsidRPr="000215F4">
              <w:rPr>
                <w:color w:val="000000"/>
                <w:sz w:val="24"/>
                <w:szCs w:val="36"/>
                <w:vertAlign w:val="superscript"/>
                <w:lang w:val="nb-NO"/>
              </w:rPr>
              <w:t>)</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DIN 4550</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43416C" w:rsidRDefault="008F178A" w:rsidP="0043416C"/>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Ukraine</w:t>
            </w:r>
          </w:p>
        </w:tc>
        <w:tc>
          <w:tcPr>
            <w:tcW w:w="3258" w:type="dxa"/>
            <w:tcBorders>
              <w:top w:val="single" w:sz="2" w:space="0" w:color="000000"/>
              <w:left w:val="single" w:sz="2" w:space="0" w:color="000000"/>
              <w:bottom w:val="single" w:sz="2" w:space="0" w:color="000000"/>
              <w:right w:val="single" w:sz="2" w:space="0" w:color="000000"/>
            </w:tcBorders>
            <w:vAlign w:val="center"/>
          </w:tcPr>
          <w:p w:rsidR="0043416C" w:rsidRDefault="0043416C" w:rsidP="0043416C">
            <w:pPr>
              <w:autoSpaceDE w:val="0"/>
              <w:autoSpaceDN w:val="0"/>
              <w:adjustRightInd w:val="0"/>
              <w:rPr>
                <w:rFonts w:ascii="Tms Rmn" w:hAnsi="Tms Rmn" w:cs="Tms Rmn"/>
                <w:color w:val="000000"/>
                <w:sz w:val="24"/>
                <w:szCs w:val="24"/>
              </w:rPr>
            </w:pPr>
            <w:r w:rsidRPr="0043416C">
              <w:rPr>
                <w:rFonts w:ascii="Tms Rmn" w:hAnsi="Tms Rmn" w:cs="Tms Rmn"/>
                <w:color w:val="000000"/>
                <w:sz w:val="24"/>
                <w:szCs w:val="24"/>
              </w:rPr>
              <w:t>Norms of seismic safety</w:t>
            </w:r>
            <w:r>
              <w:rPr>
                <w:rFonts w:ascii="Tms Rmn" w:hAnsi="Tms Rmn" w:cs="Tms Rmn"/>
                <w:color w:val="000000"/>
                <w:sz w:val="24"/>
                <w:szCs w:val="24"/>
              </w:rPr>
              <w:t>.</w:t>
            </w:r>
          </w:p>
          <w:p w:rsidR="0043416C" w:rsidRPr="0043416C" w:rsidRDefault="0043416C" w:rsidP="0043416C">
            <w:pPr>
              <w:autoSpaceDE w:val="0"/>
              <w:autoSpaceDN w:val="0"/>
              <w:adjustRightInd w:val="0"/>
              <w:rPr>
                <w:rFonts w:ascii="Tms Rmn" w:hAnsi="Tms Rmn" w:cs="Tms Rmn"/>
                <w:color w:val="000000"/>
                <w:sz w:val="12"/>
                <w:szCs w:val="24"/>
              </w:rPr>
            </w:pPr>
          </w:p>
          <w:p w:rsidR="0043416C" w:rsidRPr="0043416C" w:rsidRDefault="0043416C" w:rsidP="0043416C">
            <w:pPr>
              <w:autoSpaceDE w:val="0"/>
              <w:autoSpaceDN w:val="0"/>
              <w:adjustRightInd w:val="0"/>
              <w:rPr>
                <w:rFonts w:ascii="Tms Rmn" w:hAnsi="Tms Rmn" w:cs="Tms Rmn"/>
                <w:color w:val="000000"/>
                <w:sz w:val="24"/>
                <w:szCs w:val="24"/>
              </w:rPr>
            </w:pPr>
            <w:r w:rsidRPr="0043416C">
              <w:rPr>
                <w:rFonts w:ascii="Tms Rmn" w:hAnsi="Tms Rmn" w:cs="Tms Rmn"/>
                <w:color w:val="000000"/>
                <w:sz w:val="24"/>
                <w:szCs w:val="24"/>
              </w:rPr>
              <w:t>Method for determination of actual seismic stability of buildings and constructions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Default="0043416C" w:rsidP="008F178A">
            <w:pPr>
              <w:autoSpaceDE w:val="0"/>
              <w:autoSpaceDN w:val="0"/>
              <w:adjustRightInd w:val="0"/>
              <w:ind w:right="-70"/>
              <w:rPr>
                <w:color w:val="000000"/>
                <w:sz w:val="24"/>
                <w:szCs w:val="36"/>
                <w:lang w:val="nb-NO"/>
              </w:rPr>
            </w:pPr>
            <w:r>
              <w:rPr>
                <w:color w:val="000000"/>
                <w:sz w:val="24"/>
                <w:szCs w:val="36"/>
                <w:lang w:val="nb-NO"/>
              </w:rPr>
              <w:t>DCTU 4704:2008</w:t>
            </w:r>
          </w:p>
          <w:p w:rsidR="0043416C" w:rsidRPr="0043416C" w:rsidRDefault="0043416C" w:rsidP="008F178A">
            <w:pPr>
              <w:autoSpaceDE w:val="0"/>
              <w:autoSpaceDN w:val="0"/>
              <w:adjustRightInd w:val="0"/>
              <w:ind w:right="-70"/>
              <w:rPr>
                <w:color w:val="000000"/>
                <w:sz w:val="12"/>
                <w:szCs w:val="36"/>
                <w:lang w:val="nb-NO"/>
              </w:rPr>
            </w:pPr>
          </w:p>
          <w:p w:rsidR="0043416C" w:rsidRDefault="0043416C" w:rsidP="008F178A">
            <w:pPr>
              <w:autoSpaceDE w:val="0"/>
              <w:autoSpaceDN w:val="0"/>
              <w:adjustRightInd w:val="0"/>
              <w:ind w:right="-70"/>
              <w:rPr>
                <w:color w:val="000000"/>
                <w:sz w:val="24"/>
                <w:szCs w:val="36"/>
                <w:lang w:val="nb-NO"/>
              </w:rPr>
            </w:pPr>
            <w:r>
              <w:rPr>
                <w:color w:val="000000"/>
                <w:sz w:val="24"/>
                <w:szCs w:val="36"/>
                <w:lang w:val="nb-NO"/>
              </w:rPr>
              <w:t>DCTU 7116:2009</w:t>
            </w:r>
          </w:p>
          <w:p w:rsidR="0043416C" w:rsidRDefault="0043416C" w:rsidP="008F178A">
            <w:pPr>
              <w:autoSpaceDE w:val="0"/>
              <w:autoSpaceDN w:val="0"/>
              <w:adjustRightInd w:val="0"/>
              <w:ind w:right="-70"/>
              <w:rPr>
                <w:color w:val="000000"/>
                <w:sz w:val="24"/>
                <w:szCs w:val="36"/>
                <w:lang w:val="nb-NO"/>
              </w:rPr>
            </w:pPr>
          </w:p>
          <w:p w:rsidR="0043416C" w:rsidRPr="000215F4" w:rsidRDefault="0043416C" w:rsidP="008F178A">
            <w:pPr>
              <w:autoSpaceDE w:val="0"/>
              <w:autoSpaceDN w:val="0"/>
              <w:adjustRightInd w:val="0"/>
              <w:ind w:right="-70"/>
              <w:rPr>
                <w:color w:val="000000"/>
                <w:sz w:val="24"/>
                <w:szCs w:val="36"/>
                <w:lang w:val="nb-NO"/>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lang w:val="nb-NO"/>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43416C" w:rsidRDefault="0043416C" w:rsidP="0043416C">
            <w:r w:rsidRPr="0043416C">
              <w:t>Translation coming...</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United Kingdom (England, Northern Ireland, Scotland and Wales)</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sz w:val="24"/>
                <w:szCs w:val="36"/>
              </w:rPr>
            </w:pPr>
            <w:r w:rsidRPr="000215F4">
              <w:rPr>
                <w:sz w:val="24"/>
                <w:szCs w:val="36"/>
              </w:rPr>
              <w:t>Evaluation and measurement for vibration in buildings.</w:t>
            </w:r>
          </w:p>
          <w:p w:rsidR="008F178A" w:rsidRPr="000215F4" w:rsidRDefault="008F178A" w:rsidP="008F178A">
            <w:pPr>
              <w:autoSpaceDE w:val="0"/>
              <w:autoSpaceDN w:val="0"/>
              <w:adjustRightInd w:val="0"/>
              <w:rPr>
                <w:sz w:val="24"/>
                <w:szCs w:val="36"/>
              </w:rPr>
            </w:pPr>
            <w:r w:rsidRPr="000215F4">
              <w:rPr>
                <w:sz w:val="24"/>
                <w:szCs w:val="36"/>
              </w:rPr>
              <w:t xml:space="preserve">Part 2: Guide to damage levels from </w:t>
            </w:r>
            <w:proofErr w:type="spellStart"/>
            <w:r w:rsidRPr="000215F4">
              <w:rPr>
                <w:sz w:val="24"/>
                <w:szCs w:val="36"/>
              </w:rPr>
              <w:t>groundborne</w:t>
            </w:r>
            <w:proofErr w:type="spellEnd"/>
            <w:r w:rsidRPr="000215F4">
              <w:rPr>
                <w:sz w:val="24"/>
                <w:szCs w:val="36"/>
              </w:rPr>
              <w:t xml:space="preserve"> vibration</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rPr>
            </w:pPr>
            <w:r w:rsidRPr="000215F4">
              <w:rPr>
                <w:color w:val="000000"/>
                <w:sz w:val="24"/>
                <w:szCs w:val="36"/>
                <w:lang w:val="nb-NO"/>
              </w:rPr>
              <w:t>BS7385 Part 2:1993</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FF"/>
                <w:sz w:val="20"/>
                <w:szCs w:val="36"/>
                <w:u w:val="single"/>
              </w:rPr>
            </w:pPr>
            <w:r w:rsidRPr="005A5D2A">
              <w:rPr>
                <w:color w:val="0000FF"/>
                <w:sz w:val="20"/>
                <w:szCs w:val="36"/>
                <w:u w:val="single"/>
              </w:rPr>
              <w:t>www.bsigroup.com</w:t>
            </w: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pPr>
              <w:autoSpaceDE w:val="0"/>
              <w:autoSpaceDN w:val="0"/>
              <w:adjustRightInd w:val="0"/>
            </w:pPr>
            <w:r>
              <w:t xml:space="preserve">Guide PPV values are limited to a curve defining no cosmetic damage. They are based on two building classes and three frequency steps (4 Hz to 15 Hz, 15 Hz – 50 Hz, &gt; 50 Hz). For frequencies &lt; 4 Hz a maximum particle displacement of 0.6 mm is the limit. The maximum </w:t>
            </w:r>
            <w:r w:rsidRPr="002E6B5C">
              <w:t>of the</w:t>
            </w:r>
            <w:r>
              <w:t xml:space="preserve"> </w:t>
            </w:r>
            <w:proofErr w:type="spellStart"/>
            <w:r>
              <w:t>triaxial</w:t>
            </w:r>
            <w:proofErr w:type="spellEnd"/>
            <w:r>
              <w:t xml:space="preserve"> </w:t>
            </w:r>
            <w:r w:rsidRPr="002E6B5C">
              <w:t xml:space="preserve">components </w:t>
            </w:r>
            <w:r>
              <w:t xml:space="preserve">is should be used for the </w:t>
            </w:r>
            <w:r w:rsidRPr="002E6B5C">
              <w:t>assessment</w:t>
            </w:r>
            <w:r>
              <w:t>.</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roofErr w:type="spellStart"/>
            <w:r w:rsidRPr="000215F4">
              <w:rPr>
                <w:color w:val="000000"/>
                <w:sz w:val="24"/>
                <w:szCs w:val="36"/>
              </w:rPr>
              <w:t>Vatikan</w:t>
            </w:r>
            <w:proofErr w:type="spellEnd"/>
            <w:r w:rsidRPr="000215F4">
              <w:rPr>
                <w:color w:val="000000"/>
                <w:sz w:val="24"/>
                <w:szCs w:val="36"/>
              </w:rPr>
              <w:t xml:space="preserve"> City</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lang w:val="nb-NO"/>
              </w:rPr>
              <w:t>-No data-</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rPr>
            </w:pP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00"/>
                <w:sz w:val="20"/>
                <w:szCs w:val="36"/>
              </w:rPr>
            </w:pP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
        </w:tc>
      </w:tr>
      <w:tr w:rsidR="008F178A" w:rsidRPr="008F178A"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 xml:space="preserve">EN </w:t>
            </w:r>
            <w:proofErr w:type="spellStart"/>
            <w:r w:rsidRPr="000215F4">
              <w:rPr>
                <w:color w:val="000000"/>
                <w:sz w:val="24"/>
                <w:szCs w:val="36"/>
              </w:rPr>
              <w:t>Eurocode</w:t>
            </w:r>
            <w:proofErr w:type="spellEnd"/>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proofErr w:type="spellStart"/>
            <w:r w:rsidRPr="000215F4">
              <w:rPr>
                <w:color w:val="000000"/>
                <w:sz w:val="24"/>
                <w:szCs w:val="36"/>
              </w:rPr>
              <w:t>Eurocode</w:t>
            </w:r>
            <w:proofErr w:type="spellEnd"/>
            <w:r w:rsidRPr="000215F4">
              <w:rPr>
                <w:color w:val="000000"/>
                <w:sz w:val="24"/>
                <w:szCs w:val="36"/>
              </w:rPr>
              <w:t xml:space="preserve"> 8: Seismic Design of Buildings - Worked Examples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EUR 25204 EN - 2012</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FF"/>
                <w:sz w:val="20"/>
                <w:szCs w:val="36"/>
                <w:u w:val="single"/>
                <w:lang w:val="nb-NO"/>
              </w:rPr>
            </w:pPr>
            <w:r w:rsidRPr="005A5D2A">
              <w:rPr>
                <w:color w:val="0000FF"/>
                <w:sz w:val="20"/>
                <w:szCs w:val="36"/>
                <w:u w:val="single"/>
                <w:lang w:val="nb-NO"/>
              </w:rPr>
              <w:t>eurocodes.jrc.ec.europa.eu</w:t>
            </w: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Pr="008F178A" w:rsidRDefault="008F178A" w:rsidP="008F178A">
            <w:pPr>
              <w:autoSpaceDE w:val="0"/>
              <w:autoSpaceDN w:val="0"/>
              <w:adjustRightInd w:val="0"/>
              <w:rPr>
                <w:sz w:val="24"/>
                <w:szCs w:val="36"/>
                <w:u w:val="single"/>
              </w:rPr>
            </w:pPr>
            <w:r w:rsidRPr="008F178A">
              <w:t>The code treats mainly the design of buildings and earthquake resistance.</w:t>
            </w:r>
          </w:p>
        </w:tc>
      </w:tr>
      <w:tr w:rsidR="008F178A" w:rsidRPr="000215F4" w:rsidTr="005A5D2A">
        <w:trPr>
          <w:trHeight w:val="567"/>
        </w:trPr>
        <w:tc>
          <w:tcPr>
            <w:tcW w:w="1632"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lang w:val="nb-NO"/>
              </w:rPr>
            </w:pPr>
            <w:r w:rsidRPr="000215F4">
              <w:rPr>
                <w:color w:val="000000"/>
                <w:sz w:val="24"/>
                <w:szCs w:val="36"/>
                <w:lang w:val="nb-NO"/>
              </w:rPr>
              <w:t>International Standard</w:t>
            </w:r>
          </w:p>
        </w:tc>
        <w:tc>
          <w:tcPr>
            <w:tcW w:w="3258"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rPr>
                <w:color w:val="000000"/>
                <w:sz w:val="24"/>
                <w:szCs w:val="36"/>
              </w:rPr>
            </w:pPr>
            <w:r w:rsidRPr="000215F4">
              <w:rPr>
                <w:color w:val="000000"/>
                <w:sz w:val="24"/>
                <w:szCs w:val="36"/>
              </w:rPr>
              <w:t>Mechanical vibration and shock -- Vibration of fixed structures -- Guidelines for the measurement of vibrations and evaluation of their effects on structures</w:t>
            </w:r>
          </w:p>
        </w:tc>
        <w:tc>
          <w:tcPr>
            <w:tcW w:w="2551" w:type="dxa"/>
            <w:tcBorders>
              <w:top w:val="single" w:sz="2" w:space="0" w:color="000000"/>
              <w:left w:val="single" w:sz="2" w:space="0" w:color="000000"/>
              <w:bottom w:val="single" w:sz="2" w:space="0" w:color="000000"/>
              <w:right w:val="single" w:sz="2" w:space="0" w:color="000000"/>
            </w:tcBorders>
            <w:vAlign w:val="center"/>
          </w:tcPr>
          <w:p w:rsidR="008F178A" w:rsidRPr="000215F4" w:rsidRDefault="008F178A" w:rsidP="008F178A">
            <w:pPr>
              <w:autoSpaceDE w:val="0"/>
              <w:autoSpaceDN w:val="0"/>
              <w:adjustRightInd w:val="0"/>
              <w:ind w:right="-70"/>
              <w:rPr>
                <w:color w:val="000000"/>
                <w:sz w:val="24"/>
                <w:szCs w:val="36"/>
                <w:lang w:val="nb-NO"/>
              </w:rPr>
            </w:pPr>
            <w:r w:rsidRPr="000215F4">
              <w:rPr>
                <w:color w:val="000000"/>
                <w:sz w:val="24"/>
                <w:szCs w:val="36"/>
                <w:lang w:val="nb-NO"/>
              </w:rPr>
              <w:t>ISO 4866:2010</w:t>
            </w:r>
          </w:p>
        </w:tc>
        <w:tc>
          <w:tcPr>
            <w:tcW w:w="2410" w:type="dxa"/>
            <w:tcBorders>
              <w:top w:val="single" w:sz="2" w:space="0" w:color="000000"/>
              <w:left w:val="single" w:sz="2" w:space="0" w:color="000000"/>
              <w:bottom w:val="single" w:sz="2" w:space="0" w:color="000000"/>
              <w:right w:val="single" w:sz="2" w:space="0" w:color="000000"/>
            </w:tcBorders>
            <w:vAlign w:val="center"/>
          </w:tcPr>
          <w:p w:rsidR="008F178A" w:rsidRPr="005A5D2A" w:rsidRDefault="008F178A" w:rsidP="008F178A">
            <w:pPr>
              <w:autoSpaceDE w:val="0"/>
              <w:autoSpaceDN w:val="0"/>
              <w:adjustRightInd w:val="0"/>
              <w:rPr>
                <w:color w:val="0000FF"/>
                <w:sz w:val="20"/>
                <w:szCs w:val="36"/>
                <w:u w:val="single"/>
                <w:lang w:val="nb-NO"/>
              </w:rPr>
            </w:pPr>
            <w:r w:rsidRPr="005A5D2A">
              <w:rPr>
                <w:color w:val="0000FF"/>
                <w:sz w:val="20"/>
                <w:szCs w:val="36"/>
                <w:u w:val="single"/>
                <w:lang w:val="nb-NO"/>
              </w:rPr>
              <w:t>www.iso.org</w:t>
            </w:r>
          </w:p>
        </w:tc>
        <w:tc>
          <w:tcPr>
            <w:tcW w:w="5103" w:type="dxa"/>
            <w:tcBorders>
              <w:top w:val="single" w:sz="2" w:space="0" w:color="000000"/>
              <w:left w:val="single" w:sz="2" w:space="0" w:color="000000"/>
              <w:bottom w:val="single" w:sz="2" w:space="0" w:color="000000"/>
              <w:right w:val="single" w:sz="2" w:space="0" w:color="000000"/>
            </w:tcBorders>
            <w:vAlign w:val="center"/>
          </w:tcPr>
          <w:p w:rsidR="008F178A" w:rsidRDefault="008F178A" w:rsidP="008F178A">
            <w:r>
              <w:rPr>
                <w:rStyle w:val="hps"/>
              </w:rPr>
              <w:t>The ISO</w:t>
            </w:r>
            <w:r>
              <w:t xml:space="preserve"> standard </w:t>
            </w:r>
            <w:r>
              <w:rPr>
                <w:rStyle w:val="hps"/>
              </w:rPr>
              <w:t>presents</w:t>
            </w:r>
            <w:r>
              <w:t xml:space="preserve"> </w:t>
            </w:r>
            <w:r>
              <w:rPr>
                <w:rStyle w:val="hps"/>
              </w:rPr>
              <w:t>methods for the</w:t>
            </w:r>
            <w:r>
              <w:t xml:space="preserve"> </w:t>
            </w:r>
            <w:r>
              <w:rPr>
                <w:rStyle w:val="hps"/>
              </w:rPr>
              <w:t>standardization of</w:t>
            </w:r>
            <w:r>
              <w:t xml:space="preserve"> </w:t>
            </w:r>
            <w:r>
              <w:rPr>
                <w:rStyle w:val="hps"/>
              </w:rPr>
              <w:t>rules</w:t>
            </w:r>
            <w:r>
              <w:t xml:space="preserve">, </w:t>
            </w:r>
            <w:r>
              <w:rPr>
                <w:rStyle w:val="hps"/>
              </w:rPr>
              <w:t>is very general</w:t>
            </w:r>
            <w:r>
              <w:t xml:space="preserve"> </w:t>
            </w:r>
            <w:r>
              <w:rPr>
                <w:rStyle w:val="hps"/>
              </w:rPr>
              <w:t>and does not present values</w:t>
            </w:r>
            <w:r>
              <w:t xml:space="preserve"> </w:t>
            </w:r>
            <w:r>
              <w:rPr>
                <w:rStyle w:val="hps"/>
              </w:rPr>
              <w:t>for defining PPV limits</w:t>
            </w:r>
            <w:r>
              <w:t>.</w:t>
            </w:r>
          </w:p>
        </w:tc>
      </w:tr>
      <w:tr w:rsidR="005A5D2A" w:rsidRPr="000215F4" w:rsidTr="00B91C4A">
        <w:trPr>
          <w:trHeight w:val="567"/>
        </w:trPr>
        <w:tc>
          <w:tcPr>
            <w:tcW w:w="14954" w:type="dxa"/>
            <w:gridSpan w:val="5"/>
            <w:tcBorders>
              <w:top w:val="single" w:sz="2" w:space="0" w:color="000000"/>
              <w:left w:val="single" w:sz="2" w:space="0" w:color="000000"/>
              <w:bottom w:val="single" w:sz="2" w:space="0" w:color="000000"/>
              <w:right w:val="single" w:sz="2" w:space="0" w:color="000000"/>
            </w:tcBorders>
            <w:vAlign w:val="center"/>
          </w:tcPr>
          <w:p w:rsidR="005A5D2A" w:rsidRPr="005A5D2A" w:rsidRDefault="005A5D2A" w:rsidP="008F178A">
            <w:pPr>
              <w:autoSpaceDE w:val="0"/>
              <w:autoSpaceDN w:val="0"/>
              <w:adjustRightInd w:val="0"/>
              <w:ind w:right="-70"/>
              <w:rPr>
                <w:i/>
                <w:iCs/>
                <w:color w:val="000000"/>
                <w:szCs w:val="36"/>
              </w:rPr>
            </w:pPr>
            <w:r w:rsidRPr="005A5D2A">
              <w:rPr>
                <w:i/>
                <w:iCs/>
                <w:color w:val="000000"/>
                <w:szCs w:val="36"/>
              </w:rPr>
              <w:t>1) Unofficial translation</w:t>
            </w:r>
            <w:r w:rsidRPr="005A5D2A">
              <w:rPr>
                <w:i/>
                <w:iCs/>
                <w:color w:val="000000"/>
                <w:szCs w:val="36"/>
              </w:rPr>
              <w:br/>
              <w:t>2) Based on second hand references (scientific papers or other articles)</w:t>
            </w:r>
          </w:p>
        </w:tc>
      </w:tr>
    </w:tbl>
    <w:p w:rsidR="007415A0" w:rsidRDefault="007415A0" w:rsidP="00FE037F"/>
    <w:p w:rsidR="00F96B60" w:rsidRDefault="00F96B60">
      <w:pPr>
        <w:spacing w:after="200" w:line="276" w:lineRule="auto"/>
      </w:pPr>
    </w:p>
    <w:p w:rsidR="00A72505" w:rsidRDefault="00A72505">
      <w:pPr>
        <w:spacing w:after="200" w:line="276" w:lineRule="auto"/>
      </w:pPr>
      <w:r>
        <w:t>SECOND HAND REFERENCES</w:t>
      </w:r>
    </w:p>
    <w:p w:rsidR="00A72505" w:rsidRDefault="00A72505" w:rsidP="00A72505"/>
    <w:p w:rsidR="00A72505" w:rsidRDefault="00A72505" w:rsidP="00A72505">
      <w:pPr>
        <w:pStyle w:val="Liststycke"/>
        <w:numPr>
          <w:ilvl w:val="0"/>
          <w:numId w:val="12"/>
        </w:numPr>
      </w:pPr>
      <w:proofErr w:type="spellStart"/>
      <w:r>
        <w:t>Cardu</w:t>
      </w:r>
      <w:proofErr w:type="spellEnd"/>
      <w:r>
        <w:t>, M. 2007. An example of preliminary seismic survey to evaluate the feasibility of blasting works in proximity of a sensitive monument. Vienna Conference Proceedings 2009, P. Moser et al © 2009 European Federation of Explosives Engineers. ISBN 978-0-9550290-1-1.</w:t>
      </w:r>
    </w:p>
    <w:p w:rsidR="009603D2" w:rsidRDefault="009603D2" w:rsidP="009603D2">
      <w:pPr>
        <w:pStyle w:val="Liststycke"/>
      </w:pPr>
    </w:p>
    <w:p w:rsidR="00A72505" w:rsidRDefault="00A72505" w:rsidP="00A72505">
      <w:pPr>
        <w:pStyle w:val="Liststycke"/>
        <w:numPr>
          <w:ilvl w:val="0"/>
          <w:numId w:val="12"/>
        </w:numPr>
      </w:pPr>
      <w:proofErr w:type="spellStart"/>
      <w:r>
        <w:t>Kahriman</w:t>
      </w:r>
      <w:proofErr w:type="spellEnd"/>
      <w:r>
        <w:t xml:space="preserve"> et.al. 2009. The analysis of ground vibrations induced by blasting at </w:t>
      </w:r>
      <w:proofErr w:type="spellStart"/>
      <w:r>
        <w:t>Cebeci</w:t>
      </w:r>
      <w:proofErr w:type="spellEnd"/>
      <w:r>
        <w:t xml:space="preserve"> Quarries in Istanbul, Turkey. Budapest Conference Proceedings 2009, P. Moser et al © 2009 European Federation of Explosives Engineers. ISBN 978-0-9550290-2-8. </w:t>
      </w:r>
    </w:p>
    <w:p w:rsidR="009603D2" w:rsidRDefault="009603D2" w:rsidP="009603D2">
      <w:pPr>
        <w:pStyle w:val="Liststycke"/>
      </w:pPr>
    </w:p>
    <w:p w:rsidR="00A72505" w:rsidRDefault="00A72505" w:rsidP="00A72505">
      <w:pPr>
        <w:pStyle w:val="Liststycke"/>
        <w:numPr>
          <w:ilvl w:val="0"/>
          <w:numId w:val="12"/>
        </w:numPr>
      </w:pPr>
      <w:proofErr w:type="spellStart"/>
      <w:r>
        <w:t>Vrkljan</w:t>
      </w:r>
      <w:proofErr w:type="spellEnd"/>
      <w:r>
        <w:t>. D, et al. 2005. Safe seismic zone determination during construction pit excavation for a university library in Split, Croatia. Brighto</w:t>
      </w:r>
      <w:r w:rsidR="009603D2">
        <w:t>n Conference Proceedings 2005, R</w:t>
      </w:r>
      <w:r>
        <w:t>. Holmberg et al © 2005 European Federation of Explosives Engineers. ISBN 0-9550290-0-7.</w:t>
      </w:r>
    </w:p>
    <w:p w:rsidR="009603D2" w:rsidRDefault="009603D2" w:rsidP="009603D2">
      <w:pPr>
        <w:pStyle w:val="Liststycke"/>
      </w:pPr>
    </w:p>
    <w:p w:rsidR="009603D2" w:rsidRDefault="009603D2" w:rsidP="009603D2">
      <w:pPr>
        <w:pStyle w:val="Liststycke"/>
        <w:numPr>
          <w:ilvl w:val="0"/>
          <w:numId w:val="12"/>
        </w:numPr>
      </w:pPr>
      <w:r>
        <w:t>National Roads Authority. 2004. Guidelines for the treatment of noise and vibration in national road schemes. Ireland.</w:t>
      </w:r>
    </w:p>
    <w:p w:rsidR="009603D2" w:rsidRDefault="009603D2" w:rsidP="009603D2">
      <w:pPr>
        <w:pStyle w:val="Liststycke"/>
      </w:pPr>
    </w:p>
    <w:p w:rsidR="009603D2" w:rsidRDefault="009603D2" w:rsidP="005835DF">
      <w:pPr>
        <w:pStyle w:val="Liststycke"/>
        <w:numPr>
          <w:ilvl w:val="0"/>
          <w:numId w:val="12"/>
        </w:numPr>
      </w:pPr>
      <w:proofErr w:type="spellStart"/>
      <w:r>
        <w:t>Baliktsis</w:t>
      </w:r>
      <w:proofErr w:type="spellEnd"/>
      <w:r>
        <w:t xml:space="preserve">, E et al. 2013. A multi-functional blast planning and vibration monitoring program for the construction of three tunnels on the Motorway Athens – </w:t>
      </w:r>
      <w:proofErr w:type="spellStart"/>
      <w:r>
        <w:t>Salonica</w:t>
      </w:r>
      <w:proofErr w:type="spellEnd"/>
      <w:r>
        <w:t>, Hellas. Moscow Proceedings 2013 Part II, © European Federation of Explosives Engineers. ISBN 978-5-98746-016-0. "Alliance press" Ltd, Moscow.</w:t>
      </w:r>
    </w:p>
    <w:p w:rsidR="00A72505" w:rsidRPr="00EB4A5E" w:rsidRDefault="00A72505" w:rsidP="00FF0134"/>
    <w:p w:rsidR="00A72505" w:rsidRDefault="00A72505" w:rsidP="00A72505"/>
    <w:p w:rsidR="00A72505" w:rsidRDefault="00A72505">
      <w:pPr>
        <w:spacing w:after="200" w:line="276" w:lineRule="auto"/>
      </w:pPr>
    </w:p>
    <w:p w:rsidR="00F96B60" w:rsidRDefault="00F96B60" w:rsidP="002D7BB9"/>
    <w:p w:rsidR="00925540" w:rsidRDefault="00FF0134" w:rsidP="00E172F9">
      <w:r>
        <w:t>OTHER USEFUL</w:t>
      </w:r>
      <w:r w:rsidR="00C2347E">
        <w:t xml:space="preserve"> </w:t>
      </w:r>
      <w:r w:rsidR="00925540">
        <w:t>REFERENCES</w:t>
      </w:r>
    </w:p>
    <w:p w:rsidR="00925540" w:rsidRDefault="00925540" w:rsidP="00E172F9"/>
    <w:p w:rsidR="00925540" w:rsidRDefault="00EB4A5E" w:rsidP="00E172F9">
      <w:r w:rsidRPr="00FF0134">
        <w:rPr>
          <w:lang w:val="nn-NO"/>
        </w:rPr>
        <w:t xml:space="preserve">Bernardo, P &amp; Dinis da Gama, C. 2006. </w:t>
      </w:r>
      <w:r w:rsidRPr="00EB4A5E">
        <w:t xml:space="preserve">Suggestions to improve the Portuguese standard for vibration control in constructions. </w:t>
      </w:r>
      <w:r>
        <w:t xml:space="preserve">Centro de </w:t>
      </w:r>
      <w:proofErr w:type="spellStart"/>
      <w:r>
        <w:t>Geotecnia</w:t>
      </w:r>
      <w:proofErr w:type="spellEnd"/>
      <w:r>
        <w:t xml:space="preserve"> do </w:t>
      </w:r>
      <w:proofErr w:type="gramStart"/>
      <w:r>
        <w:t>IST ,</w:t>
      </w:r>
      <w:proofErr w:type="gramEnd"/>
      <w:r>
        <w:t xml:space="preserve"> </w:t>
      </w:r>
      <w:proofErr w:type="spellStart"/>
      <w:r>
        <w:t>Lisboa</w:t>
      </w:r>
      <w:proofErr w:type="spellEnd"/>
      <w:r>
        <w:t>, Portugal.</w:t>
      </w:r>
    </w:p>
    <w:p w:rsidR="00A72505" w:rsidRDefault="00A72505" w:rsidP="00E172F9"/>
    <w:p w:rsidR="007335B1" w:rsidRDefault="007335B1" w:rsidP="007335B1">
      <w:proofErr w:type="gramStart"/>
      <w:r>
        <w:t>Holmberg, R &amp; Jonson, D. 2004.</w:t>
      </w:r>
      <w:proofErr w:type="gramEnd"/>
      <w:r>
        <w:t xml:space="preserve"> </w:t>
      </w:r>
      <w:proofErr w:type="gramStart"/>
      <w:r>
        <w:t xml:space="preserve">Swedish standards for ground vibrations and </w:t>
      </w:r>
      <w:proofErr w:type="spellStart"/>
      <w:r>
        <w:t>airblast</w:t>
      </w:r>
      <w:proofErr w:type="spellEnd"/>
      <w:r>
        <w:t>.</w:t>
      </w:r>
      <w:proofErr w:type="gramEnd"/>
      <w:r>
        <w:t xml:space="preserve"> Stockholm, Sweden</w:t>
      </w:r>
    </w:p>
    <w:p w:rsidR="007335B1" w:rsidRDefault="007335B1" w:rsidP="007335B1"/>
    <w:p w:rsidR="007335B1" w:rsidRDefault="007335B1" w:rsidP="007335B1">
      <w:proofErr w:type="gramStart"/>
      <w:r>
        <w:t>Malta Environment and Planning Authority.</w:t>
      </w:r>
      <w:proofErr w:type="gramEnd"/>
      <w:r>
        <w:t xml:space="preserve"> 2012. Terms of reference for vibration monitoring of quarry blasting.</w:t>
      </w:r>
    </w:p>
    <w:p w:rsidR="003E6F9D" w:rsidRDefault="003E6F9D" w:rsidP="007335B1"/>
    <w:p w:rsidR="007335B1" w:rsidRDefault="007335B1" w:rsidP="007335B1">
      <w:proofErr w:type="spellStart"/>
      <w:r>
        <w:t>Olofsson</w:t>
      </w:r>
      <w:proofErr w:type="spellEnd"/>
      <w:r>
        <w:t xml:space="preserve">, S.O. 2002. </w:t>
      </w:r>
      <w:proofErr w:type="gramStart"/>
      <w:r w:rsidRPr="003D6B6A">
        <w:t>Applied explosives technology for construction and mining</w:t>
      </w:r>
      <w:r>
        <w:t>.</w:t>
      </w:r>
      <w:proofErr w:type="gramEnd"/>
      <w:r>
        <w:t xml:space="preserve"> </w:t>
      </w:r>
      <w:proofErr w:type="spellStart"/>
      <w:r>
        <w:t>Ärla</w:t>
      </w:r>
      <w:proofErr w:type="spellEnd"/>
      <w:r>
        <w:t xml:space="preserve">, Sweden. </w:t>
      </w:r>
      <w:proofErr w:type="gramStart"/>
      <w:r>
        <w:t>ISBN 91-7970-634-7.</w:t>
      </w:r>
      <w:proofErr w:type="gramEnd"/>
    </w:p>
    <w:p w:rsidR="003E6F9D" w:rsidRDefault="003E6F9D" w:rsidP="003E6F9D"/>
    <w:p w:rsidR="00EB4A5E" w:rsidRDefault="00EB4A5E" w:rsidP="00E172F9">
      <w:proofErr w:type="spellStart"/>
      <w:proofErr w:type="gramStart"/>
      <w:r>
        <w:t>Vuento</w:t>
      </w:r>
      <w:proofErr w:type="spellEnd"/>
      <w:r>
        <w:t>, A. 2012.</w:t>
      </w:r>
      <w:proofErr w:type="gramEnd"/>
      <w:r>
        <w:t xml:space="preserve"> </w:t>
      </w:r>
      <w:proofErr w:type="gramStart"/>
      <w:r>
        <w:t>Finnish guidelines for environmental vibrations from construction work and traffic.</w:t>
      </w:r>
      <w:proofErr w:type="gramEnd"/>
      <w:r>
        <w:t xml:space="preserve"> </w:t>
      </w:r>
      <w:proofErr w:type="spellStart"/>
      <w:r>
        <w:t>Powerpoint</w:t>
      </w:r>
      <w:proofErr w:type="spellEnd"/>
      <w:r>
        <w:t xml:space="preserve"> Presentation, Nordic Ground Vibration Day 2012, Oslo.</w:t>
      </w:r>
    </w:p>
    <w:p w:rsidR="008C418B" w:rsidRDefault="008C418B" w:rsidP="00E172F9"/>
    <w:p w:rsidR="003E6F9D" w:rsidRDefault="003E6F9D"/>
    <w:sectPr w:rsidR="003E6F9D" w:rsidSect="003A6B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45B"/>
    <w:multiLevelType w:val="hybridMultilevel"/>
    <w:tmpl w:val="102A9460"/>
    <w:lvl w:ilvl="0" w:tplc="04140001">
      <w:start w:val="1"/>
      <w:numFmt w:val="bullet"/>
      <w:lvlText w:val=""/>
      <w:lvlJc w:val="left"/>
      <w:pPr>
        <w:ind w:left="753" w:hanging="360"/>
      </w:pPr>
      <w:rPr>
        <w:rFonts w:ascii="Symbol" w:hAnsi="Symbol" w:hint="default"/>
      </w:rPr>
    </w:lvl>
    <w:lvl w:ilvl="1" w:tplc="04140003" w:tentative="1">
      <w:start w:val="1"/>
      <w:numFmt w:val="bullet"/>
      <w:lvlText w:val="o"/>
      <w:lvlJc w:val="left"/>
      <w:pPr>
        <w:ind w:left="1473" w:hanging="360"/>
      </w:pPr>
      <w:rPr>
        <w:rFonts w:ascii="Courier New" w:hAnsi="Courier New" w:cs="Courier New" w:hint="default"/>
      </w:rPr>
    </w:lvl>
    <w:lvl w:ilvl="2" w:tplc="04140005" w:tentative="1">
      <w:start w:val="1"/>
      <w:numFmt w:val="bullet"/>
      <w:lvlText w:val=""/>
      <w:lvlJc w:val="left"/>
      <w:pPr>
        <w:ind w:left="2193" w:hanging="360"/>
      </w:pPr>
      <w:rPr>
        <w:rFonts w:ascii="Wingdings" w:hAnsi="Wingdings" w:hint="default"/>
      </w:rPr>
    </w:lvl>
    <w:lvl w:ilvl="3" w:tplc="04140001" w:tentative="1">
      <w:start w:val="1"/>
      <w:numFmt w:val="bullet"/>
      <w:lvlText w:val=""/>
      <w:lvlJc w:val="left"/>
      <w:pPr>
        <w:ind w:left="2913" w:hanging="360"/>
      </w:pPr>
      <w:rPr>
        <w:rFonts w:ascii="Symbol" w:hAnsi="Symbol" w:hint="default"/>
      </w:rPr>
    </w:lvl>
    <w:lvl w:ilvl="4" w:tplc="04140003" w:tentative="1">
      <w:start w:val="1"/>
      <w:numFmt w:val="bullet"/>
      <w:lvlText w:val="o"/>
      <w:lvlJc w:val="left"/>
      <w:pPr>
        <w:ind w:left="3633" w:hanging="360"/>
      </w:pPr>
      <w:rPr>
        <w:rFonts w:ascii="Courier New" w:hAnsi="Courier New" w:cs="Courier New" w:hint="default"/>
      </w:rPr>
    </w:lvl>
    <w:lvl w:ilvl="5" w:tplc="04140005" w:tentative="1">
      <w:start w:val="1"/>
      <w:numFmt w:val="bullet"/>
      <w:lvlText w:val=""/>
      <w:lvlJc w:val="left"/>
      <w:pPr>
        <w:ind w:left="4353" w:hanging="360"/>
      </w:pPr>
      <w:rPr>
        <w:rFonts w:ascii="Wingdings" w:hAnsi="Wingdings" w:hint="default"/>
      </w:rPr>
    </w:lvl>
    <w:lvl w:ilvl="6" w:tplc="04140001" w:tentative="1">
      <w:start w:val="1"/>
      <w:numFmt w:val="bullet"/>
      <w:lvlText w:val=""/>
      <w:lvlJc w:val="left"/>
      <w:pPr>
        <w:ind w:left="5073" w:hanging="360"/>
      </w:pPr>
      <w:rPr>
        <w:rFonts w:ascii="Symbol" w:hAnsi="Symbol" w:hint="default"/>
      </w:rPr>
    </w:lvl>
    <w:lvl w:ilvl="7" w:tplc="04140003" w:tentative="1">
      <w:start w:val="1"/>
      <w:numFmt w:val="bullet"/>
      <w:lvlText w:val="o"/>
      <w:lvlJc w:val="left"/>
      <w:pPr>
        <w:ind w:left="5793" w:hanging="360"/>
      </w:pPr>
      <w:rPr>
        <w:rFonts w:ascii="Courier New" w:hAnsi="Courier New" w:cs="Courier New" w:hint="default"/>
      </w:rPr>
    </w:lvl>
    <w:lvl w:ilvl="8" w:tplc="04140005" w:tentative="1">
      <w:start w:val="1"/>
      <w:numFmt w:val="bullet"/>
      <w:lvlText w:val=""/>
      <w:lvlJc w:val="left"/>
      <w:pPr>
        <w:ind w:left="6513" w:hanging="360"/>
      </w:pPr>
      <w:rPr>
        <w:rFonts w:ascii="Wingdings" w:hAnsi="Wingdings" w:hint="default"/>
      </w:rPr>
    </w:lvl>
  </w:abstractNum>
  <w:abstractNum w:abstractNumId="1">
    <w:nsid w:val="1D254998"/>
    <w:multiLevelType w:val="hybridMultilevel"/>
    <w:tmpl w:val="AAB0AEF6"/>
    <w:lvl w:ilvl="0" w:tplc="FA2CEBE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81A78F1"/>
    <w:multiLevelType w:val="hybridMultilevel"/>
    <w:tmpl w:val="1286E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3CB7F21"/>
    <w:multiLevelType w:val="hybridMultilevel"/>
    <w:tmpl w:val="F0E4F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5A4786C"/>
    <w:multiLevelType w:val="hybridMultilevel"/>
    <w:tmpl w:val="48CC217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5">
    <w:nsid w:val="48F65915"/>
    <w:multiLevelType w:val="hybridMultilevel"/>
    <w:tmpl w:val="3EF6E61E"/>
    <w:lvl w:ilvl="0" w:tplc="787E0D9A">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0E065AA"/>
    <w:multiLevelType w:val="hybridMultilevel"/>
    <w:tmpl w:val="00528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5B96DB3"/>
    <w:multiLevelType w:val="hybridMultilevel"/>
    <w:tmpl w:val="79F2D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5081FCA"/>
    <w:multiLevelType w:val="hybridMultilevel"/>
    <w:tmpl w:val="C2C449F2"/>
    <w:lvl w:ilvl="0" w:tplc="0414000F">
      <w:start w:val="1"/>
      <w:numFmt w:val="decimal"/>
      <w:lvlText w:val="%1."/>
      <w:lvlJc w:val="left"/>
      <w:pPr>
        <w:ind w:left="720" w:hanging="360"/>
      </w:pPr>
      <w:rPr>
        <w:rFonts w:hint="default"/>
      </w:rPr>
    </w:lvl>
    <w:lvl w:ilvl="1" w:tplc="AEC440F2">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6870649"/>
    <w:multiLevelType w:val="hybridMultilevel"/>
    <w:tmpl w:val="A7948332"/>
    <w:lvl w:ilvl="0" w:tplc="76028D66">
      <w:start w:val="1"/>
      <w:numFmt w:val="decimal"/>
      <w:pStyle w:val="Rubrik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D714620"/>
    <w:multiLevelType w:val="hybridMultilevel"/>
    <w:tmpl w:val="D674D898"/>
    <w:lvl w:ilvl="0" w:tplc="0414000F">
      <w:start w:val="1"/>
      <w:numFmt w:val="decimal"/>
      <w:lvlText w:val="%1."/>
      <w:lvlJc w:val="left"/>
      <w:pPr>
        <w:ind w:left="720" w:hanging="360"/>
      </w:pPr>
      <w:rPr>
        <w:rFonts w:hint="default"/>
      </w:rPr>
    </w:lvl>
    <w:lvl w:ilvl="1" w:tplc="AEC440F2">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2C0031B"/>
    <w:multiLevelType w:val="hybridMultilevel"/>
    <w:tmpl w:val="C97C25DC"/>
    <w:lvl w:ilvl="0" w:tplc="04140001">
      <w:start w:val="1"/>
      <w:numFmt w:val="bullet"/>
      <w:lvlText w:val=""/>
      <w:lvlJc w:val="left"/>
      <w:pPr>
        <w:ind w:left="761" w:hanging="360"/>
      </w:pPr>
      <w:rPr>
        <w:rFonts w:ascii="Symbol" w:hAnsi="Symbol" w:hint="default"/>
      </w:rPr>
    </w:lvl>
    <w:lvl w:ilvl="1" w:tplc="04140003" w:tentative="1">
      <w:start w:val="1"/>
      <w:numFmt w:val="bullet"/>
      <w:lvlText w:val="o"/>
      <w:lvlJc w:val="left"/>
      <w:pPr>
        <w:ind w:left="1481" w:hanging="360"/>
      </w:pPr>
      <w:rPr>
        <w:rFonts w:ascii="Courier New" w:hAnsi="Courier New" w:cs="Courier New"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cs="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cs="Courier New" w:hint="default"/>
      </w:rPr>
    </w:lvl>
    <w:lvl w:ilvl="8" w:tplc="04140005" w:tentative="1">
      <w:start w:val="1"/>
      <w:numFmt w:val="bullet"/>
      <w:lvlText w:val=""/>
      <w:lvlJc w:val="left"/>
      <w:pPr>
        <w:ind w:left="6521"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2"/>
  </w:num>
  <w:num w:numId="6">
    <w:abstractNumId w:val="3"/>
  </w:num>
  <w:num w:numId="7">
    <w:abstractNumId w:val="11"/>
  </w:num>
  <w:num w:numId="8">
    <w:abstractNumId w:val="7"/>
  </w:num>
  <w:num w:numId="9">
    <w:abstractNumId w:val="8"/>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46"/>
    <w:rsid w:val="000215F4"/>
    <w:rsid w:val="00034A2D"/>
    <w:rsid w:val="00062521"/>
    <w:rsid w:val="00066199"/>
    <w:rsid w:val="00066AF2"/>
    <w:rsid w:val="000675B7"/>
    <w:rsid w:val="000754E0"/>
    <w:rsid w:val="00075CB5"/>
    <w:rsid w:val="0007665E"/>
    <w:rsid w:val="00087612"/>
    <w:rsid w:val="00087D25"/>
    <w:rsid w:val="000A4575"/>
    <w:rsid w:val="000A6E42"/>
    <w:rsid w:val="000E540C"/>
    <w:rsid w:val="00102A00"/>
    <w:rsid w:val="00130AB5"/>
    <w:rsid w:val="001422DC"/>
    <w:rsid w:val="00151242"/>
    <w:rsid w:val="00171BCD"/>
    <w:rsid w:val="001875D7"/>
    <w:rsid w:val="0019679F"/>
    <w:rsid w:val="001B2314"/>
    <w:rsid w:val="001C1098"/>
    <w:rsid w:val="001C7158"/>
    <w:rsid w:val="001D7A68"/>
    <w:rsid w:val="0021177F"/>
    <w:rsid w:val="00220FFE"/>
    <w:rsid w:val="00235C34"/>
    <w:rsid w:val="00261B68"/>
    <w:rsid w:val="00267DC4"/>
    <w:rsid w:val="00283E38"/>
    <w:rsid w:val="00290D30"/>
    <w:rsid w:val="002C71E0"/>
    <w:rsid w:val="002D7BB9"/>
    <w:rsid w:val="002E1F92"/>
    <w:rsid w:val="002E40EB"/>
    <w:rsid w:val="002E6B5C"/>
    <w:rsid w:val="003459D7"/>
    <w:rsid w:val="00363EA5"/>
    <w:rsid w:val="00383C98"/>
    <w:rsid w:val="00387513"/>
    <w:rsid w:val="003A6BE4"/>
    <w:rsid w:val="003D030C"/>
    <w:rsid w:val="003D6B6A"/>
    <w:rsid w:val="003E6E71"/>
    <w:rsid w:val="003E6F9D"/>
    <w:rsid w:val="0041106D"/>
    <w:rsid w:val="00414D68"/>
    <w:rsid w:val="0043416C"/>
    <w:rsid w:val="004B5278"/>
    <w:rsid w:val="004C721B"/>
    <w:rsid w:val="004D1BD6"/>
    <w:rsid w:val="004E37A7"/>
    <w:rsid w:val="004F0743"/>
    <w:rsid w:val="004F7E87"/>
    <w:rsid w:val="00503D4D"/>
    <w:rsid w:val="00513DF7"/>
    <w:rsid w:val="005231B9"/>
    <w:rsid w:val="0055021E"/>
    <w:rsid w:val="005835DF"/>
    <w:rsid w:val="005A5D2A"/>
    <w:rsid w:val="005A6572"/>
    <w:rsid w:val="005B0161"/>
    <w:rsid w:val="005B3808"/>
    <w:rsid w:val="00627D79"/>
    <w:rsid w:val="0063722B"/>
    <w:rsid w:val="00642533"/>
    <w:rsid w:val="00656DD0"/>
    <w:rsid w:val="0066144B"/>
    <w:rsid w:val="00665685"/>
    <w:rsid w:val="0069370B"/>
    <w:rsid w:val="006A1B30"/>
    <w:rsid w:val="006F3EA6"/>
    <w:rsid w:val="00721627"/>
    <w:rsid w:val="0072292D"/>
    <w:rsid w:val="00727A10"/>
    <w:rsid w:val="007335B1"/>
    <w:rsid w:val="007415A0"/>
    <w:rsid w:val="007469A6"/>
    <w:rsid w:val="00763EEF"/>
    <w:rsid w:val="00786F98"/>
    <w:rsid w:val="007D044E"/>
    <w:rsid w:val="0080096F"/>
    <w:rsid w:val="00804C13"/>
    <w:rsid w:val="0082397D"/>
    <w:rsid w:val="00827465"/>
    <w:rsid w:val="008340BE"/>
    <w:rsid w:val="008666D4"/>
    <w:rsid w:val="0087560B"/>
    <w:rsid w:val="00886657"/>
    <w:rsid w:val="00890B1C"/>
    <w:rsid w:val="00895770"/>
    <w:rsid w:val="008B1545"/>
    <w:rsid w:val="008C418B"/>
    <w:rsid w:val="008E2C7C"/>
    <w:rsid w:val="008F178A"/>
    <w:rsid w:val="008F4E88"/>
    <w:rsid w:val="00917833"/>
    <w:rsid w:val="00925540"/>
    <w:rsid w:val="00926863"/>
    <w:rsid w:val="00933E51"/>
    <w:rsid w:val="009603D2"/>
    <w:rsid w:val="009752BD"/>
    <w:rsid w:val="009F41F3"/>
    <w:rsid w:val="00A00027"/>
    <w:rsid w:val="00A05980"/>
    <w:rsid w:val="00A21FAC"/>
    <w:rsid w:val="00A309F6"/>
    <w:rsid w:val="00A52A34"/>
    <w:rsid w:val="00A72505"/>
    <w:rsid w:val="00A962D7"/>
    <w:rsid w:val="00AD6FEA"/>
    <w:rsid w:val="00AE15CC"/>
    <w:rsid w:val="00AE5F0F"/>
    <w:rsid w:val="00AF233E"/>
    <w:rsid w:val="00B13C58"/>
    <w:rsid w:val="00B70145"/>
    <w:rsid w:val="00B76644"/>
    <w:rsid w:val="00BA3C93"/>
    <w:rsid w:val="00BB4257"/>
    <w:rsid w:val="00BC55C0"/>
    <w:rsid w:val="00BF417C"/>
    <w:rsid w:val="00BF4EA9"/>
    <w:rsid w:val="00BF5015"/>
    <w:rsid w:val="00C2347E"/>
    <w:rsid w:val="00C54A5F"/>
    <w:rsid w:val="00C90A46"/>
    <w:rsid w:val="00C94E3F"/>
    <w:rsid w:val="00CA5A77"/>
    <w:rsid w:val="00CB340B"/>
    <w:rsid w:val="00CB7D5C"/>
    <w:rsid w:val="00CD097F"/>
    <w:rsid w:val="00CE0661"/>
    <w:rsid w:val="00CF7AE1"/>
    <w:rsid w:val="00D030BB"/>
    <w:rsid w:val="00D44E96"/>
    <w:rsid w:val="00D50370"/>
    <w:rsid w:val="00DA2C28"/>
    <w:rsid w:val="00DB2945"/>
    <w:rsid w:val="00DE1F2E"/>
    <w:rsid w:val="00DE738F"/>
    <w:rsid w:val="00DF791F"/>
    <w:rsid w:val="00E172F9"/>
    <w:rsid w:val="00E1780D"/>
    <w:rsid w:val="00E17933"/>
    <w:rsid w:val="00E33702"/>
    <w:rsid w:val="00E349D5"/>
    <w:rsid w:val="00E543E9"/>
    <w:rsid w:val="00EA285F"/>
    <w:rsid w:val="00EB4A5E"/>
    <w:rsid w:val="00EC7982"/>
    <w:rsid w:val="00EE5073"/>
    <w:rsid w:val="00F25327"/>
    <w:rsid w:val="00F74CC1"/>
    <w:rsid w:val="00F76291"/>
    <w:rsid w:val="00F80D15"/>
    <w:rsid w:val="00F96B60"/>
    <w:rsid w:val="00FA5F28"/>
    <w:rsid w:val="00FB3A1C"/>
    <w:rsid w:val="00FD0D56"/>
    <w:rsid w:val="00FE037F"/>
    <w:rsid w:val="00FF01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F"/>
    <w:pPr>
      <w:spacing w:after="0" w:line="240" w:lineRule="auto"/>
    </w:pPr>
    <w:rPr>
      <w:rFonts w:ascii="Times New Roman" w:hAnsi="Times New Roman" w:cs="Times New Roman"/>
      <w:lang w:val="en-US"/>
    </w:rPr>
  </w:style>
  <w:style w:type="paragraph" w:styleId="Rubrik1">
    <w:name w:val="heading 1"/>
    <w:basedOn w:val="Liststycke"/>
    <w:next w:val="Normal"/>
    <w:link w:val="Rubrik1Char"/>
    <w:uiPriority w:val="9"/>
    <w:qFormat/>
    <w:rsid w:val="00FE037F"/>
    <w:pPr>
      <w:numPr>
        <w:numId w:val="1"/>
      </w:numPr>
      <w:ind w:left="426" w:hanging="426"/>
      <w:outlineLvl w:val="0"/>
    </w:pPr>
  </w:style>
  <w:style w:type="paragraph" w:styleId="Rubrik2">
    <w:name w:val="heading 2"/>
    <w:basedOn w:val="Normal"/>
    <w:next w:val="Normal"/>
    <w:link w:val="Rubrik2Char"/>
    <w:uiPriority w:val="9"/>
    <w:unhideWhenUsed/>
    <w:qFormat/>
    <w:rsid w:val="00C90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037F"/>
    <w:rPr>
      <w:rFonts w:ascii="Times New Roman" w:hAnsi="Times New Roman" w:cs="Times New Roman"/>
      <w:lang w:val="en-US"/>
    </w:rPr>
  </w:style>
  <w:style w:type="character" w:customStyle="1" w:styleId="Rubrik2Char">
    <w:name w:val="Rubrik 2 Char"/>
    <w:basedOn w:val="Standardstycketeckensnitt"/>
    <w:link w:val="Rubrik2"/>
    <w:uiPriority w:val="9"/>
    <w:rsid w:val="00C90A4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FE037F"/>
    <w:pPr>
      <w:ind w:left="720"/>
      <w:contextualSpacing/>
    </w:pPr>
  </w:style>
  <w:style w:type="character" w:styleId="Hyperlnk">
    <w:name w:val="Hyperlink"/>
    <w:basedOn w:val="Standardstycketeckensnitt"/>
    <w:uiPriority w:val="99"/>
    <w:unhideWhenUsed/>
    <w:rsid w:val="004C721B"/>
    <w:rPr>
      <w:color w:val="0000FF" w:themeColor="hyperlink"/>
      <w:u w:val="single"/>
    </w:rPr>
  </w:style>
  <w:style w:type="table" w:styleId="Tabellrutnt">
    <w:name w:val="Table Grid"/>
    <w:basedOn w:val="Normaltabell"/>
    <w:uiPriority w:val="59"/>
    <w:rsid w:val="002D7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63722B"/>
    <w:pPr>
      <w:spacing w:before="100" w:beforeAutospacing="1" w:after="100" w:afterAutospacing="1"/>
    </w:pPr>
    <w:rPr>
      <w:rFonts w:eastAsia="Times New Roman"/>
      <w:sz w:val="24"/>
      <w:szCs w:val="24"/>
      <w:lang w:val="nb-NO" w:eastAsia="nb-NO"/>
    </w:rPr>
  </w:style>
  <w:style w:type="character" w:customStyle="1" w:styleId="longtext">
    <w:name w:val="long_text"/>
    <w:basedOn w:val="Standardstycketeckensnitt"/>
    <w:rsid w:val="00721627"/>
  </w:style>
  <w:style w:type="character" w:customStyle="1" w:styleId="hps">
    <w:name w:val="hps"/>
    <w:basedOn w:val="Standardstycketeckensnitt"/>
    <w:rsid w:val="00AF233E"/>
  </w:style>
  <w:style w:type="paragraph" w:styleId="Ballongtext">
    <w:name w:val="Balloon Text"/>
    <w:basedOn w:val="Normal"/>
    <w:link w:val="BallongtextChar"/>
    <w:uiPriority w:val="99"/>
    <w:semiHidden/>
    <w:unhideWhenUsed/>
    <w:rsid w:val="00804C13"/>
    <w:rPr>
      <w:rFonts w:ascii="Tahoma" w:hAnsi="Tahoma" w:cs="Tahoma"/>
      <w:sz w:val="16"/>
      <w:szCs w:val="16"/>
    </w:rPr>
  </w:style>
  <w:style w:type="character" w:customStyle="1" w:styleId="BallongtextChar">
    <w:name w:val="Ballongtext Char"/>
    <w:basedOn w:val="Standardstycketeckensnitt"/>
    <w:link w:val="Ballongtext"/>
    <w:uiPriority w:val="99"/>
    <w:semiHidden/>
    <w:rsid w:val="00804C13"/>
    <w:rPr>
      <w:rFonts w:ascii="Tahoma" w:hAnsi="Tahoma" w:cs="Tahoma"/>
      <w:sz w:val="16"/>
      <w:szCs w:val="16"/>
      <w:lang w:val="en-US"/>
    </w:rPr>
  </w:style>
  <w:style w:type="character" w:styleId="Kommentarsreferens">
    <w:name w:val="annotation reference"/>
    <w:basedOn w:val="Standardstycketeckensnitt"/>
    <w:uiPriority w:val="99"/>
    <w:semiHidden/>
    <w:unhideWhenUsed/>
    <w:rsid w:val="0080096F"/>
    <w:rPr>
      <w:sz w:val="16"/>
      <w:szCs w:val="16"/>
    </w:rPr>
  </w:style>
  <w:style w:type="paragraph" w:styleId="Kommentarer">
    <w:name w:val="annotation text"/>
    <w:basedOn w:val="Normal"/>
    <w:link w:val="KommentarerChar"/>
    <w:uiPriority w:val="99"/>
    <w:semiHidden/>
    <w:unhideWhenUsed/>
    <w:rsid w:val="0080096F"/>
    <w:rPr>
      <w:sz w:val="20"/>
      <w:szCs w:val="20"/>
    </w:rPr>
  </w:style>
  <w:style w:type="character" w:customStyle="1" w:styleId="KommentarerChar">
    <w:name w:val="Kommentarer Char"/>
    <w:basedOn w:val="Standardstycketeckensnitt"/>
    <w:link w:val="Kommentarer"/>
    <w:uiPriority w:val="99"/>
    <w:semiHidden/>
    <w:rsid w:val="0080096F"/>
    <w:rPr>
      <w:rFonts w:ascii="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80096F"/>
    <w:rPr>
      <w:b/>
      <w:bCs/>
    </w:rPr>
  </w:style>
  <w:style w:type="character" w:customStyle="1" w:styleId="KommentarsmneChar">
    <w:name w:val="Kommentarsämne Char"/>
    <w:basedOn w:val="KommentarerChar"/>
    <w:link w:val="Kommentarsmne"/>
    <w:uiPriority w:val="99"/>
    <w:semiHidden/>
    <w:rsid w:val="0080096F"/>
    <w:rPr>
      <w:rFonts w:ascii="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F"/>
    <w:pPr>
      <w:spacing w:after="0" w:line="240" w:lineRule="auto"/>
    </w:pPr>
    <w:rPr>
      <w:rFonts w:ascii="Times New Roman" w:hAnsi="Times New Roman" w:cs="Times New Roman"/>
      <w:lang w:val="en-US"/>
    </w:rPr>
  </w:style>
  <w:style w:type="paragraph" w:styleId="Rubrik1">
    <w:name w:val="heading 1"/>
    <w:basedOn w:val="Liststycke"/>
    <w:next w:val="Normal"/>
    <w:link w:val="Rubrik1Char"/>
    <w:uiPriority w:val="9"/>
    <w:qFormat/>
    <w:rsid w:val="00FE037F"/>
    <w:pPr>
      <w:numPr>
        <w:numId w:val="1"/>
      </w:numPr>
      <w:ind w:left="426" w:hanging="426"/>
      <w:outlineLvl w:val="0"/>
    </w:pPr>
  </w:style>
  <w:style w:type="paragraph" w:styleId="Rubrik2">
    <w:name w:val="heading 2"/>
    <w:basedOn w:val="Normal"/>
    <w:next w:val="Normal"/>
    <w:link w:val="Rubrik2Char"/>
    <w:uiPriority w:val="9"/>
    <w:unhideWhenUsed/>
    <w:qFormat/>
    <w:rsid w:val="00C90A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037F"/>
    <w:rPr>
      <w:rFonts w:ascii="Times New Roman" w:hAnsi="Times New Roman" w:cs="Times New Roman"/>
      <w:lang w:val="en-US"/>
    </w:rPr>
  </w:style>
  <w:style w:type="character" w:customStyle="1" w:styleId="Rubrik2Char">
    <w:name w:val="Rubrik 2 Char"/>
    <w:basedOn w:val="Standardstycketeckensnitt"/>
    <w:link w:val="Rubrik2"/>
    <w:uiPriority w:val="9"/>
    <w:rsid w:val="00C90A4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FE037F"/>
    <w:pPr>
      <w:ind w:left="720"/>
      <w:contextualSpacing/>
    </w:pPr>
  </w:style>
  <w:style w:type="character" w:styleId="Hyperlnk">
    <w:name w:val="Hyperlink"/>
    <w:basedOn w:val="Standardstycketeckensnitt"/>
    <w:uiPriority w:val="99"/>
    <w:unhideWhenUsed/>
    <w:rsid w:val="004C721B"/>
    <w:rPr>
      <w:color w:val="0000FF" w:themeColor="hyperlink"/>
      <w:u w:val="single"/>
    </w:rPr>
  </w:style>
  <w:style w:type="table" w:styleId="Tabellrutnt">
    <w:name w:val="Table Grid"/>
    <w:basedOn w:val="Normaltabell"/>
    <w:uiPriority w:val="59"/>
    <w:rsid w:val="002D7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63722B"/>
    <w:pPr>
      <w:spacing w:before="100" w:beforeAutospacing="1" w:after="100" w:afterAutospacing="1"/>
    </w:pPr>
    <w:rPr>
      <w:rFonts w:eastAsia="Times New Roman"/>
      <w:sz w:val="24"/>
      <w:szCs w:val="24"/>
      <w:lang w:val="nb-NO" w:eastAsia="nb-NO"/>
    </w:rPr>
  </w:style>
  <w:style w:type="character" w:customStyle="1" w:styleId="longtext">
    <w:name w:val="long_text"/>
    <w:basedOn w:val="Standardstycketeckensnitt"/>
    <w:rsid w:val="00721627"/>
  </w:style>
  <w:style w:type="character" w:customStyle="1" w:styleId="hps">
    <w:name w:val="hps"/>
    <w:basedOn w:val="Standardstycketeckensnitt"/>
    <w:rsid w:val="00AF233E"/>
  </w:style>
  <w:style w:type="paragraph" w:styleId="Ballongtext">
    <w:name w:val="Balloon Text"/>
    <w:basedOn w:val="Normal"/>
    <w:link w:val="BallongtextChar"/>
    <w:uiPriority w:val="99"/>
    <w:semiHidden/>
    <w:unhideWhenUsed/>
    <w:rsid w:val="00804C13"/>
    <w:rPr>
      <w:rFonts w:ascii="Tahoma" w:hAnsi="Tahoma" w:cs="Tahoma"/>
      <w:sz w:val="16"/>
      <w:szCs w:val="16"/>
    </w:rPr>
  </w:style>
  <w:style w:type="character" w:customStyle="1" w:styleId="BallongtextChar">
    <w:name w:val="Ballongtext Char"/>
    <w:basedOn w:val="Standardstycketeckensnitt"/>
    <w:link w:val="Ballongtext"/>
    <w:uiPriority w:val="99"/>
    <w:semiHidden/>
    <w:rsid w:val="00804C13"/>
    <w:rPr>
      <w:rFonts w:ascii="Tahoma" w:hAnsi="Tahoma" w:cs="Tahoma"/>
      <w:sz w:val="16"/>
      <w:szCs w:val="16"/>
      <w:lang w:val="en-US"/>
    </w:rPr>
  </w:style>
  <w:style w:type="character" w:styleId="Kommentarsreferens">
    <w:name w:val="annotation reference"/>
    <w:basedOn w:val="Standardstycketeckensnitt"/>
    <w:uiPriority w:val="99"/>
    <w:semiHidden/>
    <w:unhideWhenUsed/>
    <w:rsid w:val="0080096F"/>
    <w:rPr>
      <w:sz w:val="16"/>
      <w:szCs w:val="16"/>
    </w:rPr>
  </w:style>
  <w:style w:type="paragraph" w:styleId="Kommentarer">
    <w:name w:val="annotation text"/>
    <w:basedOn w:val="Normal"/>
    <w:link w:val="KommentarerChar"/>
    <w:uiPriority w:val="99"/>
    <w:semiHidden/>
    <w:unhideWhenUsed/>
    <w:rsid w:val="0080096F"/>
    <w:rPr>
      <w:sz w:val="20"/>
      <w:szCs w:val="20"/>
    </w:rPr>
  </w:style>
  <w:style w:type="character" w:customStyle="1" w:styleId="KommentarerChar">
    <w:name w:val="Kommentarer Char"/>
    <w:basedOn w:val="Standardstycketeckensnitt"/>
    <w:link w:val="Kommentarer"/>
    <w:uiPriority w:val="99"/>
    <w:semiHidden/>
    <w:rsid w:val="0080096F"/>
    <w:rPr>
      <w:rFonts w:ascii="Times New Roman" w:hAnsi="Times New Roman" w:cs="Times New Roman"/>
      <w:sz w:val="20"/>
      <w:szCs w:val="20"/>
      <w:lang w:val="en-US"/>
    </w:rPr>
  </w:style>
  <w:style w:type="paragraph" w:styleId="Kommentarsmne">
    <w:name w:val="annotation subject"/>
    <w:basedOn w:val="Kommentarer"/>
    <w:next w:val="Kommentarer"/>
    <w:link w:val="KommentarsmneChar"/>
    <w:uiPriority w:val="99"/>
    <w:semiHidden/>
    <w:unhideWhenUsed/>
    <w:rsid w:val="0080096F"/>
    <w:rPr>
      <w:b/>
      <w:bCs/>
    </w:rPr>
  </w:style>
  <w:style w:type="character" w:customStyle="1" w:styleId="KommentarsmneChar">
    <w:name w:val="Kommentarsämne Char"/>
    <w:basedOn w:val="KommentarerChar"/>
    <w:link w:val="Kommentarsmne"/>
    <w:uiPriority w:val="99"/>
    <w:semiHidden/>
    <w:rsid w:val="0080096F"/>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88481">
      <w:bodyDiv w:val="1"/>
      <w:marLeft w:val="0"/>
      <w:marRight w:val="0"/>
      <w:marTop w:val="0"/>
      <w:marBottom w:val="0"/>
      <w:divBdr>
        <w:top w:val="none" w:sz="0" w:space="0" w:color="auto"/>
        <w:left w:val="none" w:sz="0" w:space="0" w:color="auto"/>
        <w:bottom w:val="none" w:sz="0" w:space="0" w:color="auto"/>
        <w:right w:val="none" w:sz="0" w:space="0" w:color="auto"/>
      </w:divBdr>
    </w:div>
    <w:div w:id="21182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no" TargetMode="External"/><Relationship Id="rId13" Type="http://schemas.openxmlformats.org/officeDocument/2006/relationships/hyperlink" Target="http://www.snv.ch" TargetMode="External"/><Relationship Id="rId3" Type="http://schemas.microsoft.com/office/2007/relationships/stylesWithEffects" Target="stylesWithEffects.xml"/><Relationship Id="rId7" Type="http://schemas.openxmlformats.org/officeDocument/2006/relationships/hyperlink" Target="http://www.reglugerd.is" TargetMode="External"/><Relationship Id="rId12" Type="http://schemas.openxmlformats.org/officeDocument/2006/relationships/hyperlink" Target="http://www.s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de" TargetMode="External"/><Relationship Id="rId11" Type="http://schemas.openxmlformats.org/officeDocument/2006/relationships/hyperlink" Target="http://www.aeno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norm.com" TargetMode="External"/><Relationship Id="rId4" Type="http://schemas.openxmlformats.org/officeDocument/2006/relationships/settings" Target="settings.xml"/><Relationship Id="rId9" Type="http://schemas.openxmlformats.org/officeDocument/2006/relationships/hyperlink" Target="http://www.bnportugal.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1536</Words>
  <Characters>8758</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Orica Limited</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volsen</dc:creator>
  <cp:lastModifiedBy>Roger Holmberg</cp:lastModifiedBy>
  <cp:revision>2</cp:revision>
  <cp:lastPrinted>2013-07-31T09:11:00Z</cp:lastPrinted>
  <dcterms:created xsi:type="dcterms:W3CDTF">2013-12-03T14:21:00Z</dcterms:created>
  <dcterms:modified xsi:type="dcterms:W3CDTF">2013-12-03T14:21:00Z</dcterms:modified>
</cp:coreProperties>
</file>